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A4D94" w:rsidRDefault="00C46003" w:rsidP="00A30EBD">
      <w:pPr>
        <w:spacing w:after="200" w:line="360" w:lineRule="auto"/>
        <w:jc w:val="both"/>
        <w:rPr>
          <w:rFonts w:ascii="Palatino Linotype" w:hAnsi="Palatino Linotype"/>
        </w:rPr>
      </w:pPr>
      <w:r w:rsidRPr="00AA4D9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5C4E55" w:rsidRPr="00AA4D94">
        <w:rPr>
          <w:rFonts w:ascii="Palatino Linotype" w:hAnsi="Palatino Linotype"/>
        </w:rPr>
        <w:t>seis</w:t>
      </w:r>
      <w:r w:rsidR="00FD4C85" w:rsidRPr="00AA4D94">
        <w:rPr>
          <w:rFonts w:ascii="Palatino Linotype" w:hAnsi="Palatino Linotype"/>
        </w:rPr>
        <w:t xml:space="preserve"> de </w:t>
      </w:r>
      <w:r w:rsidR="005C4E55" w:rsidRPr="00AA4D94">
        <w:rPr>
          <w:rFonts w:ascii="Palatino Linotype" w:hAnsi="Palatino Linotype"/>
        </w:rPr>
        <w:t>marzo</w:t>
      </w:r>
      <w:r w:rsidR="00FD4C85" w:rsidRPr="00AA4D94">
        <w:rPr>
          <w:rFonts w:ascii="Palatino Linotype" w:hAnsi="Palatino Linotype"/>
        </w:rPr>
        <w:t xml:space="preserve"> de dos mil diecinueve</w:t>
      </w:r>
      <w:r w:rsidRPr="00AA4D94">
        <w:rPr>
          <w:rFonts w:ascii="Palatino Linotype" w:hAnsi="Palatino Linotype"/>
        </w:rPr>
        <w:t>.</w:t>
      </w:r>
    </w:p>
    <w:p w:rsidR="00F413DE" w:rsidRPr="00AA4D94" w:rsidRDefault="00F413DE" w:rsidP="0079008C">
      <w:pPr>
        <w:spacing w:before="240" w:after="240" w:line="360" w:lineRule="auto"/>
        <w:jc w:val="both"/>
        <w:rPr>
          <w:rFonts w:ascii="Palatino Linotype" w:hAnsi="Palatino Linotype"/>
        </w:rPr>
      </w:pPr>
      <w:r w:rsidRPr="00AA4D94">
        <w:rPr>
          <w:rFonts w:ascii="Palatino Linotype" w:hAnsi="Palatino Linotype"/>
          <w:b/>
        </w:rPr>
        <w:t>VISTO</w:t>
      </w:r>
      <w:r w:rsidR="00D730A4" w:rsidRPr="00AA4D94">
        <w:rPr>
          <w:rFonts w:ascii="Palatino Linotype" w:hAnsi="Palatino Linotype"/>
        </w:rPr>
        <w:t xml:space="preserve"> </w:t>
      </w:r>
      <w:r w:rsidR="00DD5205" w:rsidRPr="00AA4D94">
        <w:rPr>
          <w:rFonts w:ascii="Palatino Linotype" w:hAnsi="Palatino Linotype"/>
        </w:rPr>
        <w:t>el</w:t>
      </w:r>
      <w:r w:rsidR="00D730A4" w:rsidRPr="00AA4D94">
        <w:rPr>
          <w:rFonts w:ascii="Palatino Linotype" w:hAnsi="Palatino Linotype"/>
        </w:rPr>
        <w:t xml:space="preserve"> </w:t>
      </w:r>
      <w:r w:rsidRPr="00AA4D94">
        <w:rPr>
          <w:rFonts w:ascii="Palatino Linotype" w:hAnsi="Palatino Linotype"/>
        </w:rPr>
        <w:t>expediente</w:t>
      </w:r>
      <w:r w:rsidR="00D730A4" w:rsidRPr="00AA4D94">
        <w:rPr>
          <w:rFonts w:ascii="Palatino Linotype" w:hAnsi="Palatino Linotype"/>
        </w:rPr>
        <w:t xml:space="preserve"> </w:t>
      </w:r>
      <w:r w:rsidRPr="00AA4D94">
        <w:rPr>
          <w:rFonts w:ascii="Palatino Linotype" w:hAnsi="Palatino Linotype"/>
        </w:rPr>
        <w:t>formado</w:t>
      </w:r>
      <w:r w:rsidR="00D730A4" w:rsidRPr="00AA4D94">
        <w:rPr>
          <w:rFonts w:ascii="Palatino Linotype" w:hAnsi="Palatino Linotype"/>
        </w:rPr>
        <w:t xml:space="preserve"> </w:t>
      </w:r>
      <w:r w:rsidRPr="00AA4D94">
        <w:rPr>
          <w:rFonts w:ascii="Palatino Linotype" w:hAnsi="Palatino Linotype"/>
        </w:rPr>
        <w:t>con</w:t>
      </w:r>
      <w:r w:rsidR="00D730A4" w:rsidRPr="00AA4D94">
        <w:rPr>
          <w:rFonts w:ascii="Palatino Linotype" w:hAnsi="Palatino Linotype"/>
        </w:rPr>
        <w:t xml:space="preserve"> </w:t>
      </w:r>
      <w:r w:rsidRPr="00AA4D94">
        <w:rPr>
          <w:rFonts w:ascii="Palatino Linotype" w:hAnsi="Palatino Linotype"/>
        </w:rPr>
        <w:t>motivo</w:t>
      </w:r>
      <w:r w:rsidR="00D730A4" w:rsidRPr="00AA4D94">
        <w:rPr>
          <w:rFonts w:ascii="Palatino Linotype" w:hAnsi="Palatino Linotype"/>
        </w:rPr>
        <w:t xml:space="preserve"> </w:t>
      </w:r>
      <w:r w:rsidRPr="00AA4D94">
        <w:rPr>
          <w:rFonts w:ascii="Palatino Linotype" w:hAnsi="Palatino Linotype"/>
        </w:rPr>
        <w:t>de</w:t>
      </w:r>
      <w:r w:rsidR="00DD5205" w:rsidRPr="00AA4D94">
        <w:rPr>
          <w:rFonts w:ascii="Palatino Linotype" w:hAnsi="Palatino Linotype"/>
        </w:rPr>
        <w:t>l</w:t>
      </w:r>
      <w:r w:rsidR="00D730A4" w:rsidRPr="00AA4D94">
        <w:rPr>
          <w:rFonts w:ascii="Palatino Linotype" w:hAnsi="Palatino Linotype"/>
        </w:rPr>
        <w:t xml:space="preserve"> </w:t>
      </w:r>
      <w:r w:rsidRPr="00AA4D94">
        <w:rPr>
          <w:rFonts w:ascii="Palatino Linotype" w:hAnsi="Palatino Linotype"/>
        </w:rPr>
        <w:t>recurso</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revisión</w:t>
      </w:r>
      <w:r w:rsidR="00D730A4" w:rsidRPr="00AA4D94">
        <w:rPr>
          <w:rFonts w:ascii="Palatino Linotype" w:hAnsi="Palatino Linotype"/>
        </w:rPr>
        <w:t xml:space="preserve"> </w:t>
      </w:r>
      <w:r w:rsidR="004E6868" w:rsidRPr="00AA4D94">
        <w:rPr>
          <w:rFonts w:ascii="Palatino Linotype" w:hAnsi="Palatino Linotype"/>
          <w:b/>
        </w:rPr>
        <w:t>04782/INFOEM/IP/RR/2018</w:t>
      </w:r>
      <w:r w:rsidRPr="00AA4D94">
        <w:rPr>
          <w:rFonts w:ascii="Palatino Linotype" w:hAnsi="Palatino Linotype"/>
        </w:rPr>
        <w:t>,</w:t>
      </w:r>
      <w:r w:rsidR="00D730A4" w:rsidRPr="00AA4D94">
        <w:rPr>
          <w:rFonts w:ascii="Palatino Linotype" w:hAnsi="Palatino Linotype"/>
        </w:rPr>
        <w:t xml:space="preserve"> </w:t>
      </w:r>
      <w:r w:rsidRPr="00AA4D94">
        <w:rPr>
          <w:rFonts w:ascii="Palatino Linotype" w:hAnsi="Palatino Linotype"/>
        </w:rPr>
        <w:t>promovido</w:t>
      </w:r>
      <w:r w:rsidR="00D730A4" w:rsidRPr="00AA4D94">
        <w:rPr>
          <w:rFonts w:ascii="Palatino Linotype" w:hAnsi="Palatino Linotype"/>
        </w:rPr>
        <w:t xml:space="preserve"> </w:t>
      </w:r>
      <w:r w:rsidRPr="00AA4D94">
        <w:rPr>
          <w:rFonts w:ascii="Palatino Linotype" w:hAnsi="Palatino Linotype"/>
        </w:rPr>
        <w:t>por</w:t>
      </w:r>
      <w:r w:rsidR="00DA209E" w:rsidRPr="00AA4D94">
        <w:rPr>
          <w:rFonts w:ascii="Palatino Linotype" w:hAnsi="Palatino Linotype"/>
        </w:rPr>
        <w:t xml:space="preserve"> </w:t>
      </w:r>
      <w:r w:rsidR="00520D71" w:rsidRPr="00520D71">
        <w:rPr>
          <w:rFonts w:ascii="Palatino Linotype" w:hAnsi="Palatino Linotype" w:cs="Arial"/>
          <w:b/>
        </w:rPr>
        <w:t>XXXXXX XXXXX</w:t>
      </w:r>
      <w:r w:rsidR="00E6045D" w:rsidRPr="00AA4D94">
        <w:rPr>
          <w:rFonts w:ascii="Palatino Linotype" w:hAnsi="Palatino Linotype" w:cs="Arial"/>
        </w:rPr>
        <w:t>, en lo sucesivo</w:t>
      </w:r>
      <w:r w:rsidR="00E6045D" w:rsidRPr="00AA4D94">
        <w:rPr>
          <w:rFonts w:ascii="Palatino Linotype" w:hAnsi="Palatino Linotype" w:cs="Arial"/>
          <w:b/>
        </w:rPr>
        <w:t xml:space="preserve"> </w:t>
      </w:r>
      <w:r w:rsidR="00404B4E" w:rsidRPr="00AA4D94">
        <w:rPr>
          <w:rFonts w:ascii="Palatino Linotype" w:hAnsi="Palatino Linotype" w:cs="Arial"/>
          <w:b/>
        </w:rPr>
        <w:t>LA</w:t>
      </w:r>
      <w:r w:rsidR="00A30EBD" w:rsidRPr="00AA4D94">
        <w:rPr>
          <w:rFonts w:ascii="Palatino Linotype" w:hAnsi="Palatino Linotype" w:cs="Arial"/>
          <w:b/>
        </w:rPr>
        <w:t xml:space="preserve"> </w:t>
      </w:r>
      <w:r w:rsidR="00442634" w:rsidRPr="00AA4D94">
        <w:rPr>
          <w:rFonts w:ascii="Palatino Linotype" w:hAnsi="Palatino Linotype" w:cs="Arial"/>
          <w:b/>
        </w:rPr>
        <w:t>RECURRENTE</w:t>
      </w:r>
      <w:r w:rsidRPr="00AA4D94">
        <w:rPr>
          <w:rFonts w:ascii="Palatino Linotype" w:hAnsi="Palatino Linotype"/>
        </w:rPr>
        <w:t>,</w:t>
      </w:r>
      <w:r w:rsidR="00D730A4" w:rsidRPr="00AA4D94">
        <w:rPr>
          <w:rFonts w:ascii="Palatino Linotype" w:hAnsi="Palatino Linotype"/>
        </w:rPr>
        <w:t xml:space="preserve"> </w:t>
      </w:r>
      <w:r w:rsidR="001A2CEF" w:rsidRPr="00AA4D94">
        <w:rPr>
          <w:rFonts w:ascii="Palatino Linotype" w:hAnsi="Palatino Linotype"/>
        </w:rPr>
        <w:t>en cont</w:t>
      </w:r>
      <w:r w:rsidR="00DA209E" w:rsidRPr="00AA4D94">
        <w:rPr>
          <w:rFonts w:ascii="Palatino Linotype" w:hAnsi="Palatino Linotype"/>
        </w:rPr>
        <w:t xml:space="preserve">ra de la </w:t>
      </w:r>
      <w:r w:rsidR="00A30EBD" w:rsidRPr="00AA4D94">
        <w:rPr>
          <w:rFonts w:ascii="Palatino Linotype" w:hAnsi="Palatino Linotype"/>
        </w:rPr>
        <w:t xml:space="preserve">falta de </w:t>
      </w:r>
      <w:r w:rsidR="0096389A" w:rsidRPr="00AA4D94">
        <w:rPr>
          <w:rFonts w:ascii="Palatino Linotype" w:hAnsi="Palatino Linotype"/>
        </w:rPr>
        <w:t xml:space="preserve">trámite y </w:t>
      </w:r>
      <w:r w:rsidR="00DA209E" w:rsidRPr="00AA4D94">
        <w:rPr>
          <w:rFonts w:ascii="Palatino Linotype" w:hAnsi="Palatino Linotype"/>
        </w:rPr>
        <w:t xml:space="preserve">respuesta </w:t>
      </w:r>
      <w:r w:rsidR="00A30EBD" w:rsidRPr="00AA4D94">
        <w:rPr>
          <w:rFonts w:ascii="Palatino Linotype" w:hAnsi="Palatino Linotype"/>
        </w:rPr>
        <w:t>del</w:t>
      </w:r>
      <w:r w:rsidR="001A2CEF" w:rsidRPr="00AA4D94">
        <w:rPr>
          <w:rFonts w:ascii="Palatino Linotype" w:hAnsi="Palatino Linotype"/>
        </w:rPr>
        <w:t xml:space="preserve"> </w:t>
      </w:r>
      <w:r w:rsidR="004E6868" w:rsidRPr="00AA4D94">
        <w:rPr>
          <w:rFonts w:ascii="Palatino Linotype" w:hAnsi="Palatino Linotype"/>
          <w:b/>
        </w:rPr>
        <w:t>Ayuntamiento de Donato Guerra</w:t>
      </w:r>
      <w:r w:rsidRPr="00AA4D94">
        <w:rPr>
          <w:rFonts w:ascii="Palatino Linotype" w:hAnsi="Palatino Linotype"/>
        </w:rPr>
        <w:t>,</w:t>
      </w:r>
      <w:r w:rsidR="00D730A4" w:rsidRPr="00AA4D94">
        <w:rPr>
          <w:rFonts w:ascii="Palatino Linotype" w:hAnsi="Palatino Linotype"/>
        </w:rPr>
        <w:t xml:space="preserve"> </w:t>
      </w:r>
      <w:r w:rsidRPr="00AA4D94">
        <w:rPr>
          <w:rFonts w:ascii="Palatino Linotype" w:hAnsi="Palatino Linotype"/>
        </w:rPr>
        <w:t>en</w:t>
      </w:r>
      <w:r w:rsidR="00D730A4" w:rsidRPr="00AA4D94">
        <w:rPr>
          <w:rFonts w:ascii="Palatino Linotype" w:hAnsi="Palatino Linotype"/>
        </w:rPr>
        <w:t xml:space="preserve"> </w:t>
      </w:r>
      <w:r w:rsidRPr="00AA4D94">
        <w:rPr>
          <w:rFonts w:ascii="Palatino Linotype" w:hAnsi="Palatino Linotype"/>
        </w:rPr>
        <w:t>lo</w:t>
      </w:r>
      <w:r w:rsidR="00D730A4" w:rsidRPr="00AA4D94">
        <w:rPr>
          <w:rFonts w:ascii="Palatino Linotype" w:hAnsi="Palatino Linotype"/>
        </w:rPr>
        <w:t xml:space="preserve"> </w:t>
      </w:r>
      <w:r w:rsidRPr="00AA4D94">
        <w:rPr>
          <w:rFonts w:ascii="Palatino Linotype" w:hAnsi="Palatino Linotype"/>
        </w:rPr>
        <w:t>sucesivo</w:t>
      </w:r>
      <w:r w:rsidR="00D730A4" w:rsidRPr="00AA4D94">
        <w:rPr>
          <w:rFonts w:ascii="Palatino Linotype" w:hAnsi="Palatino Linotype"/>
        </w:rPr>
        <w:t xml:space="preserve"> </w:t>
      </w:r>
      <w:r w:rsidRPr="00AA4D94">
        <w:rPr>
          <w:rFonts w:ascii="Palatino Linotype" w:hAnsi="Palatino Linotype"/>
          <w:b/>
        </w:rPr>
        <w:t>EL</w:t>
      </w:r>
      <w:r w:rsidR="00D730A4" w:rsidRPr="00AA4D94">
        <w:rPr>
          <w:rFonts w:ascii="Palatino Linotype" w:hAnsi="Palatino Linotype"/>
          <w:b/>
        </w:rPr>
        <w:t xml:space="preserve"> </w:t>
      </w:r>
      <w:r w:rsidRPr="00AA4D94">
        <w:rPr>
          <w:rFonts w:ascii="Palatino Linotype" w:hAnsi="Palatino Linotype"/>
          <w:b/>
        </w:rPr>
        <w:t>SUJETO</w:t>
      </w:r>
      <w:r w:rsidR="00D730A4" w:rsidRPr="00AA4D94">
        <w:rPr>
          <w:rFonts w:ascii="Palatino Linotype" w:hAnsi="Palatino Linotype"/>
          <w:b/>
        </w:rPr>
        <w:t xml:space="preserve"> </w:t>
      </w:r>
      <w:r w:rsidRPr="00AA4D94">
        <w:rPr>
          <w:rFonts w:ascii="Palatino Linotype" w:hAnsi="Palatino Linotype"/>
          <w:b/>
        </w:rPr>
        <w:t>OBLIGADO</w:t>
      </w:r>
      <w:r w:rsidRPr="00AA4D94">
        <w:rPr>
          <w:rFonts w:ascii="Palatino Linotype" w:hAnsi="Palatino Linotype"/>
        </w:rPr>
        <w:t>,</w:t>
      </w:r>
      <w:r w:rsidR="00D730A4" w:rsidRPr="00AA4D94">
        <w:rPr>
          <w:rFonts w:ascii="Palatino Linotype" w:hAnsi="Palatino Linotype"/>
        </w:rPr>
        <w:t xml:space="preserve"> </w:t>
      </w:r>
      <w:r w:rsidRPr="00AA4D94">
        <w:rPr>
          <w:rFonts w:ascii="Palatino Linotype" w:hAnsi="Palatino Linotype"/>
        </w:rPr>
        <w:t>se</w:t>
      </w:r>
      <w:r w:rsidR="00D730A4" w:rsidRPr="00AA4D94">
        <w:rPr>
          <w:rFonts w:ascii="Palatino Linotype" w:hAnsi="Palatino Linotype"/>
        </w:rPr>
        <w:t xml:space="preserve"> </w:t>
      </w:r>
      <w:r w:rsidRPr="00AA4D94">
        <w:rPr>
          <w:rFonts w:ascii="Palatino Linotype" w:hAnsi="Palatino Linotype"/>
        </w:rPr>
        <w:t>procede</w:t>
      </w:r>
      <w:r w:rsidR="00D730A4" w:rsidRPr="00AA4D94">
        <w:rPr>
          <w:rFonts w:ascii="Palatino Linotype" w:hAnsi="Palatino Linotype"/>
        </w:rPr>
        <w:t xml:space="preserve"> </w:t>
      </w:r>
      <w:r w:rsidRPr="00AA4D94">
        <w:rPr>
          <w:rFonts w:ascii="Palatino Linotype" w:hAnsi="Palatino Linotype"/>
        </w:rPr>
        <w:t>a</w:t>
      </w:r>
      <w:r w:rsidR="00D730A4" w:rsidRPr="00AA4D94">
        <w:rPr>
          <w:rFonts w:ascii="Palatino Linotype" w:hAnsi="Palatino Linotype"/>
        </w:rPr>
        <w:t xml:space="preserve"> </w:t>
      </w:r>
      <w:r w:rsidRPr="00AA4D94">
        <w:rPr>
          <w:rFonts w:ascii="Palatino Linotype" w:hAnsi="Palatino Linotype"/>
        </w:rPr>
        <w:t>dictar</w:t>
      </w:r>
      <w:r w:rsidR="00D730A4" w:rsidRPr="00AA4D94">
        <w:rPr>
          <w:rFonts w:ascii="Palatino Linotype" w:hAnsi="Palatino Linotype"/>
        </w:rPr>
        <w:t xml:space="preserve"> </w:t>
      </w:r>
      <w:r w:rsidRPr="00AA4D94">
        <w:rPr>
          <w:rFonts w:ascii="Palatino Linotype" w:hAnsi="Palatino Linotype"/>
        </w:rPr>
        <w:t>la</w:t>
      </w:r>
      <w:r w:rsidR="00D730A4" w:rsidRPr="00AA4D94">
        <w:rPr>
          <w:rFonts w:ascii="Palatino Linotype" w:hAnsi="Palatino Linotype"/>
        </w:rPr>
        <w:t xml:space="preserve"> </w:t>
      </w:r>
      <w:r w:rsidRPr="00AA4D94">
        <w:rPr>
          <w:rFonts w:ascii="Palatino Linotype" w:hAnsi="Palatino Linotype"/>
        </w:rPr>
        <w:t>presente</w:t>
      </w:r>
      <w:r w:rsidR="00D730A4" w:rsidRPr="00AA4D94">
        <w:rPr>
          <w:rFonts w:ascii="Palatino Linotype" w:hAnsi="Palatino Linotype"/>
        </w:rPr>
        <w:t xml:space="preserve"> </w:t>
      </w:r>
      <w:r w:rsidRPr="00AA4D94">
        <w:rPr>
          <w:rFonts w:ascii="Palatino Linotype" w:hAnsi="Palatino Linotype"/>
        </w:rPr>
        <w:t>resolución</w:t>
      </w:r>
      <w:r w:rsidR="00D730A4" w:rsidRPr="00AA4D94">
        <w:rPr>
          <w:rFonts w:ascii="Palatino Linotype" w:hAnsi="Palatino Linotype"/>
        </w:rPr>
        <w:t xml:space="preserve"> </w:t>
      </w:r>
      <w:r w:rsidRPr="00AA4D94">
        <w:rPr>
          <w:rFonts w:ascii="Palatino Linotype" w:hAnsi="Palatino Linotype"/>
        </w:rPr>
        <w:t>con</w:t>
      </w:r>
      <w:r w:rsidR="00D730A4" w:rsidRPr="00AA4D94">
        <w:rPr>
          <w:rFonts w:ascii="Palatino Linotype" w:hAnsi="Palatino Linotype"/>
        </w:rPr>
        <w:t xml:space="preserve"> </w:t>
      </w:r>
      <w:r w:rsidRPr="00AA4D94">
        <w:rPr>
          <w:rFonts w:ascii="Palatino Linotype" w:hAnsi="Palatino Linotype"/>
        </w:rPr>
        <w:t>base</w:t>
      </w:r>
      <w:r w:rsidR="00D730A4" w:rsidRPr="00AA4D94">
        <w:rPr>
          <w:rFonts w:ascii="Palatino Linotype" w:hAnsi="Palatino Linotype"/>
        </w:rPr>
        <w:t xml:space="preserve"> </w:t>
      </w:r>
      <w:r w:rsidRPr="00AA4D94">
        <w:rPr>
          <w:rFonts w:ascii="Palatino Linotype" w:hAnsi="Palatino Linotype"/>
        </w:rPr>
        <w:t>en</w:t>
      </w:r>
      <w:r w:rsidR="00D730A4" w:rsidRPr="00AA4D94">
        <w:rPr>
          <w:rFonts w:ascii="Palatino Linotype" w:hAnsi="Palatino Linotype"/>
        </w:rPr>
        <w:t xml:space="preserve"> </w:t>
      </w:r>
      <w:r w:rsidRPr="00AA4D94">
        <w:rPr>
          <w:rFonts w:ascii="Palatino Linotype" w:hAnsi="Palatino Linotype"/>
        </w:rPr>
        <w:t>lo</w:t>
      </w:r>
      <w:r w:rsidR="00D730A4" w:rsidRPr="00AA4D94">
        <w:rPr>
          <w:rFonts w:ascii="Palatino Linotype" w:hAnsi="Palatino Linotype"/>
        </w:rPr>
        <w:t xml:space="preserve"> </w:t>
      </w:r>
      <w:r w:rsidRPr="00AA4D94">
        <w:rPr>
          <w:rFonts w:ascii="Palatino Linotype" w:hAnsi="Palatino Linotype"/>
        </w:rPr>
        <w:t>siguiente:</w:t>
      </w:r>
      <w:r w:rsidR="00D730A4" w:rsidRPr="00AA4D94">
        <w:rPr>
          <w:rFonts w:ascii="Palatino Linotype" w:hAnsi="Palatino Linotype"/>
        </w:rPr>
        <w:t xml:space="preserve"> </w:t>
      </w:r>
    </w:p>
    <w:p w:rsidR="00A2780F" w:rsidRPr="00AA4D94" w:rsidRDefault="00A2780F" w:rsidP="0079008C">
      <w:pPr>
        <w:spacing w:before="120" w:after="120" w:line="360" w:lineRule="auto"/>
        <w:jc w:val="center"/>
        <w:rPr>
          <w:rFonts w:ascii="Palatino Linotype" w:hAnsi="Palatino Linotype"/>
          <w:b/>
          <w:bCs/>
          <w:spacing w:val="40"/>
          <w:sz w:val="28"/>
        </w:rPr>
      </w:pPr>
      <w:r w:rsidRPr="00AA4D94">
        <w:rPr>
          <w:rFonts w:ascii="Palatino Linotype" w:hAnsi="Palatino Linotype"/>
          <w:b/>
          <w:bCs/>
          <w:spacing w:val="40"/>
          <w:sz w:val="28"/>
        </w:rPr>
        <w:t>RESULTANDO</w:t>
      </w:r>
    </w:p>
    <w:p w:rsidR="00345471" w:rsidRPr="00AA4D94" w:rsidRDefault="00A327E0" w:rsidP="00A30EBD">
      <w:pPr>
        <w:pStyle w:val="Prrafodelista"/>
        <w:numPr>
          <w:ilvl w:val="0"/>
          <w:numId w:val="6"/>
        </w:numPr>
        <w:tabs>
          <w:tab w:val="left" w:pos="567"/>
        </w:tabs>
        <w:spacing w:before="160" w:after="120" w:line="360" w:lineRule="auto"/>
        <w:ind w:left="0" w:firstLine="0"/>
        <w:jc w:val="both"/>
        <w:rPr>
          <w:rFonts w:ascii="Palatino Linotype" w:hAnsi="Palatino Linotype" w:cs="Arial"/>
        </w:rPr>
      </w:pPr>
      <w:r w:rsidRPr="00AA4D94">
        <w:rPr>
          <w:rFonts w:ascii="Palatino Linotype" w:hAnsi="Palatino Linotype"/>
        </w:rPr>
        <w:t>En</w:t>
      </w:r>
      <w:r w:rsidR="00D730A4" w:rsidRPr="00AA4D94">
        <w:rPr>
          <w:rFonts w:ascii="Palatino Linotype" w:hAnsi="Palatino Linotype"/>
        </w:rPr>
        <w:t xml:space="preserve"> </w:t>
      </w:r>
      <w:r w:rsidRPr="00AA4D94">
        <w:rPr>
          <w:rFonts w:ascii="Palatino Linotype" w:hAnsi="Palatino Linotype"/>
        </w:rPr>
        <w:t>fecha</w:t>
      </w:r>
      <w:r w:rsidR="00D730A4" w:rsidRPr="00AA4D94">
        <w:rPr>
          <w:rFonts w:ascii="Palatino Linotype" w:hAnsi="Palatino Linotype"/>
        </w:rPr>
        <w:t xml:space="preserve"> </w:t>
      </w:r>
      <w:r w:rsidR="004E6868" w:rsidRPr="00AA4D94">
        <w:rPr>
          <w:rFonts w:ascii="Palatino Linotype" w:hAnsi="Palatino Linotype"/>
        </w:rPr>
        <w:t>trece</w:t>
      </w:r>
      <w:r w:rsidR="00A30EBD" w:rsidRPr="00AA4D94">
        <w:rPr>
          <w:rFonts w:ascii="Palatino Linotype" w:hAnsi="Palatino Linotype"/>
        </w:rPr>
        <w:t xml:space="preserve"> </w:t>
      </w:r>
      <w:r w:rsidR="008C6296" w:rsidRPr="00AA4D94">
        <w:rPr>
          <w:rFonts w:ascii="Palatino Linotype" w:hAnsi="Palatino Linotype"/>
        </w:rPr>
        <w:t>de</w:t>
      </w:r>
      <w:r w:rsidR="00D730A4" w:rsidRPr="00AA4D94">
        <w:rPr>
          <w:rFonts w:ascii="Palatino Linotype" w:hAnsi="Palatino Linotype"/>
        </w:rPr>
        <w:t xml:space="preserve"> </w:t>
      </w:r>
      <w:r w:rsidR="003C6A5E" w:rsidRPr="00AA4D94">
        <w:rPr>
          <w:rFonts w:ascii="Palatino Linotype" w:hAnsi="Palatino Linotype"/>
        </w:rPr>
        <w:t>noviembre</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dos</w:t>
      </w:r>
      <w:r w:rsidR="00D730A4" w:rsidRPr="00AA4D94">
        <w:rPr>
          <w:rFonts w:ascii="Palatino Linotype" w:hAnsi="Palatino Linotype"/>
        </w:rPr>
        <w:t xml:space="preserve"> </w:t>
      </w:r>
      <w:r w:rsidRPr="00AA4D94">
        <w:rPr>
          <w:rFonts w:ascii="Palatino Linotype" w:hAnsi="Palatino Linotype"/>
        </w:rPr>
        <w:t>mil</w:t>
      </w:r>
      <w:r w:rsidR="00D730A4" w:rsidRPr="00AA4D94">
        <w:rPr>
          <w:rFonts w:ascii="Palatino Linotype" w:hAnsi="Palatino Linotype"/>
        </w:rPr>
        <w:t xml:space="preserve"> </w:t>
      </w:r>
      <w:r w:rsidRPr="00AA4D94">
        <w:rPr>
          <w:rFonts w:ascii="Palatino Linotype" w:hAnsi="Palatino Linotype"/>
        </w:rPr>
        <w:t>dieci</w:t>
      </w:r>
      <w:r w:rsidR="00F01DDD" w:rsidRPr="00AA4D94">
        <w:rPr>
          <w:rFonts w:ascii="Palatino Linotype" w:hAnsi="Palatino Linotype"/>
        </w:rPr>
        <w:t>ocho</w:t>
      </w:r>
      <w:r w:rsidRPr="00AA4D94">
        <w:rPr>
          <w:rFonts w:ascii="Palatino Linotype" w:hAnsi="Palatino Linotype"/>
        </w:rPr>
        <w:t>,</w:t>
      </w:r>
      <w:r w:rsidR="00D730A4" w:rsidRPr="00AA4D94">
        <w:rPr>
          <w:rFonts w:ascii="Palatino Linotype" w:hAnsi="Palatino Linotype"/>
        </w:rPr>
        <w:t xml:space="preserve"> </w:t>
      </w:r>
      <w:r w:rsidR="00404B4E" w:rsidRPr="00AA4D94">
        <w:rPr>
          <w:rFonts w:ascii="Palatino Linotype" w:hAnsi="Palatino Linotype" w:cs="Arial"/>
          <w:b/>
        </w:rPr>
        <w:t>LA RECURRENTE</w:t>
      </w:r>
      <w:r w:rsidR="00D730A4" w:rsidRPr="00AA4D94">
        <w:rPr>
          <w:rFonts w:ascii="Palatino Linotype" w:hAnsi="Palatino Linotype"/>
        </w:rPr>
        <w:t xml:space="preserve"> </w:t>
      </w:r>
      <w:r w:rsidRPr="00AA4D94">
        <w:rPr>
          <w:rFonts w:ascii="Palatino Linotype" w:hAnsi="Palatino Linotype"/>
        </w:rPr>
        <w:t>presentó</w:t>
      </w:r>
      <w:r w:rsidR="00D730A4" w:rsidRPr="00AA4D94">
        <w:rPr>
          <w:rFonts w:ascii="Palatino Linotype" w:hAnsi="Palatino Linotype"/>
        </w:rPr>
        <w:t xml:space="preserve"> </w:t>
      </w:r>
      <w:r w:rsidRPr="00AA4D94">
        <w:rPr>
          <w:rFonts w:ascii="Palatino Linotype" w:hAnsi="Palatino Linotype"/>
        </w:rPr>
        <w:t>a</w:t>
      </w:r>
      <w:r w:rsidR="00D730A4" w:rsidRPr="00AA4D94">
        <w:rPr>
          <w:rFonts w:ascii="Palatino Linotype" w:hAnsi="Palatino Linotype"/>
        </w:rPr>
        <w:t xml:space="preserve"> </w:t>
      </w:r>
      <w:r w:rsidRPr="00AA4D94">
        <w:rPr>
          <w:rFonts w:ascii="Palatino Linotype" w:hAnsi="Palatino Linotype"/>
        </w:rPr>
        <w:t>través</w:t>
      </w:r>
      <w:r w:rsidR="00D730A4" w:rsidRPr="00AA4D94">
        <w:rPr>
          <w:rFonts w:ascii="Palatino Linotype" w:hAnsi="Palatino Linotype"/>
        </w:rPr>
        <w:t xml:space="preserve"> </w:t>
      </w:r>
      <w:r w:rsidRPr="00AA4D94">
        <w:rPr>
          <w:rFonts w:ascii="Palatino Linotype" w:hAnsi="Palatino Linotype"/>
        </w:rPr>
        <w:t>del</w:t>
      </w:r>
      <w:r w:rsidR="00D730A4" w:rsidRPr="00AA4D94">
        <w:rPr>
          <w:rFonts w:ascii="Palatino Linotype" w:hAnsi="Palatino Linotype"/>
        </w:rPr>
        <w:t xml:space="preserve"> </w:t>
      </w:r>
      <w:r w:rsidRPr="00AA4D94">
        <w:rPr>
          <w:rFonts w:ascii="Palatino Linotype" w:hAnsi="Palatino Linotype" w:cs="Arial"/>
        </w:rPr>
        <w:t>Sistema</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Acceso</w:t>
      </w:r>
      <w:r w:rsidR="00D730A4" w:rsidRPr="00AA4D94">
        <w:rPr>
          <w:rFonts w:ascii="Palatino Linotype" w:hAnsi="Palatino Linotype"/>
        </w:rPr>
        <w:t xml:space="preserve"> </w:t>
      </w:r>
      <w:r w:rsidRPr="00AA4D94">
        <w:rPr>
          <w:rFonts w:ascii="Palatino Linotype" w:hAnsi="Palatino Linotype"/>
        </w:rPr>
        <w:t>a</w:t>
      </w:r>
      <w:r w:rsidR="00D730A4" w:rsidRPr="00AA4D94">
        <w:rPr>
          <w:rFonts w:ascii="Palatino Linotype" w:hAnsi="Palatino Linotype"/>
        </w:rPr>
        <w:t xml:space="preserve"> </w:t>
      </w:r>
      <w:r w:rsidRPr="00AA4D94">
        <w:rPr>
          <w:rFonts w:ascii="Palatino Linotype" w:hAnsi="Palatino Linotype"/>
        </w:rPr>
        <w:t>la</w:t>
      </w:r>
      <w:r w:rsidR="00D730A4" w:rsidRPr="00AA4D94">
        <w:rPr>
          <w:rFonts w:ascii="Palatino Linotype" w:hAnsi="Palatino Linotype"/>
        </w:rPr>
        <w:t xml:space="preserve"> </w:t>
      </w:r>
      <w:r w:rsidRPr="00AA4D94">
        <w:rPr>
          <w:rFonts w:ascii="Palatino Linotype" w:hAnsi="Palatino Linotype"/>
        </w:rPr>
        <w:t>Información</w:t>
      </w:r>
      <w:r w:rsidR="00D730A4" w:rsidRPr="00AA4D94">
        <w:rPr>
          <w:rFonts w:ascii="Palatino Linotype" w:hAnsi="Palatino Linotype"/>
        </w:rPr>
        <w:t xml:space="preserve"> </w:t>
      </w:r>
      <w:r w:rsidRPr="00AA4D94">
        <w:rPr>
          <w:rFonts w:ascii="Palatino Linotype" w:hAnsi="Palatino Linotype"/>
        </w:rPr>
        <w:t>Mexiquense,</w:t>
      </w:r>
      <w:r w:rsidR="00D730A4" w:rsidRPr="00AA4D94">
        <w:rPr>
          <w:rFonts w:ascii="Palatino Linotype" w:hAnsi="Palatino Linotype"/>
        </w:rPr>
        <w:t xml:space="preserve"> </w:t>
      </w:r>
      <w:r w:rsidRPr="00AA4D94">
        <w:rPr>
          <w:rFonts w:ascii="Palatino Linotype" w:hAnsi="Palatino Linotype"/>
        </w:rPr>
        <w:t>en</w:t>
      </w:r>
      <w:r w:rsidR="00D730A4" w:rsidRPr="00AA4D94">
        <w:rPr>
          <w:rFonts w:ascii="Palatino Linotype" w:hAnsi="Palatino Linotype"/>
        </w:rPr>
        <w:t xml:space="preserve"> </w:t>
      </w:r>
      <w:r w:rsidRPr="00AA4D94">
        <w:rPr>
          <w:rFonts w:ascii="Palatino Linotype" w:hAnsi="Palatino Linotype"/>
        </w:rPr>
        <w:t>lo</w:t>
      </w:r>
      <w:r w:rsidR="00D730A4" w:rsidRPr="00AA4D94">
        <w:rPr>
          <w:rFonts w:ascii="Palatino Linotype" w:hAnsi="Palatino Linotype"/>
        </w:rPr>
        <w:t xml:space="preserve"> </w:t>
      </w:r>
      <w:r w:rsidRPr="00AA4D94">
        <w:rPr>
          <w:rFonts w:ascii="Palatino Linotype" w:hAnsi="Palatino Linotype"/>
        </w:rPr>
        <w:t>subsecuente</w:t>
      </w:r>
      <w:r w:rsidR="00D730A4" w:rsidRPr="00AA4D94">
        <w:rPr>
          <w:rFonts w:ascii="Palatino Linotype" w:hAnsi="Palatino Linotype"/>
        </w:rPr>
        <w:t xml:space="preserve"> </w:t>
      </w:r>
      <w:r w:rsidRPr="00AA4D94">
        <w:rPr>
          <w:rFonts w:ascii="Palatino Linotype" w:hAnsi="Palatino Linotype"/>
          <w:b/>
        </w:rPr>
        <w:t>EL</w:t>
      </w:r>
      <w:r w:rsidR="00D730A4" w:rsidRPr="00AA4D94">
        <w:rPr>
          <w:rFonts w:ascii="Palatino Linotype" w:hAnsi="Palatino Linotype"/>
          <w:b/>
        </w:rPr>
        <w:t xml:space="preserve"> </w:t>
      </w:r>
      <w:r w:rsidRPr="00AA4D94">
        <w:rPr>
          <w:rFonts w:ascii="Palatino Linotype" w:hAnsi="Palatino Linotype"/>
          <w:b/>
        </w:rPr>
        <w:t>SAIMEX</w:t>
      </w:r>
      <w:r w:rsidR="00D730A4" w:rsidRPr="00AA4D94">
        <w:rPr>
          <w:rFonts w:ascii="Palatino Linotype" w:hAnsi="Palatino Linotype"/>
        </w:rPr>
        <w:t xml:space="preserve"> </w:t>
      </w:r>
      <w:r w:rsidRPr="00AA4D94">
        <w:rPr>
          <w:rFonts w:ascii="Palatino Linotype" w:hAnsi="Palatino Linotype"/>
        </w:rPr>
        <w:t>ante</w:t>
      </w:r>
      <w:r w:rsidR="00D730A4" w:rsidRPr="00AA4D94">
        <w:rPr>
          <w:rFonts w:ascii="Palatino Linotype" w:hAnsi="Palatino Linotype"/>
        </w:rPr>
        <w:t xml:space="preserve"> </w:t>
      </w:r>
      <w:r w:rsidRPr="00AA4D94">
        <w:rPr>
          <w:rFonts w:ascii="Palatino Linotype" w:hAnsi="Palatino Linotype"/>
          <w:b/>
        </w:rPr>
        <w:t>EL</w:t>
      </w:r>
      <w:r w:rsidR="00D730A4" w:rsidRPr="00AA4D94">
        <w:rPr>
          <w:rFonts w:ascii="Palatino Linotype" w:hAnsi="Palatino Linotype"/>
          <w:b/>
        </w:rPr>
        <w:t xml:space="preserve"> </w:t>
      </w:r>
      <w:r w:rsidRPr="00AA4D94">
        <w:rPr>
          <w:rFonts w:ascii="Palatino Linotype" w:hAnsi="Palatino Linotype"/>
          <w:b/>
        </w:rPr>
        <w:t>SUJETO</w:t>
      </w:r>
      <w:r w:rsidR="00D730A4" w:rsidRPr="00AA4D94">
        <w:rPr>
          <w:rFonts w:ascii="Palatino Linotype" w:hAnsi="Palatino Linotype"/>
          <w:b/>
        </w:rPr>
        <w:t xml:space="preserve"> </w:t>
      </w:r>
      <w:r w:rsidRPr="00AA4D94">
        <w:rPr>
          <w:rFonts w:ascii="Palatino Linotype" w:hAnsi="Palatino Linotype"/>
          <w:b/>
        </w:rPr>
        <w:t>OBLIGADO</w:t>
      </w:r>
      <w:r w:rsidRPr="00AA4D94">
        <w:rPr>
          <w:rFonts w:ascii="Palatino Linotype" w:hAnsi="Palatino Linotype"/>
        </w:rPr>
        <w:t>,</w:t>
      </w:r>
      <w:r w:rsidR="00D730A4" w:rsidRPr="00AA4D94">
        <w:rPr>
          <w:rFonts w:ascii="Palatino Linotype" w:hAnsi="Palatino Linotype"/>
        </w:rPr>
        <w:t xml:space="preserve"> </w:t>
      </w:r>
      <w:r w:rsidRPr="00AA4D94">
        <w:rPr>
          <w:rFonts w:ascii="Palatino Linotype" w:hAnsi="Palatino Linotype"/>
        </w:rPr>
        <w:t>la</w:t>
      </w:r>
      <w:r w:rsidR="00D730A4" w:rsidRPr="00AA4D94">
        <w:rPr>
          <w:rFonts w:ascii="Palatino Linotype" w:hAnsi="Palatino Linotype"/>
        </w:rPr>
        <w:t xml:space="preserve"> </w:t>
      </w:r>
      <w:r w:rsidRPr="00AA4D94">
        <w:rPr>
          <w:rFonts w:ascii="Palatino Linotype" w:hAnsi="Palatino Linotype"/>
        </w:rPr>
        <w:t>solicitud</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acceso</w:t>
      </w:r>
      <w:r w:rsidR="00D730A4" w:rsidRPr="00AA4D94">
        <w:rPr>
          <w:rFonts w:ascii="Palatino Linotype" w:hAnsi="Palatino Linotype"/>
        </w:rPr>
        <w:t xml:space="preserve"> </w:t>
      </w:r>
      <w:r w:rsidRPr="00AA4D94">
        <w:rPr>
          <w:rFonts w:ascii="Palatino Linotype" w:hAnsi="Palatino Linotype"/>
        </w:rPr>
        <w:t>a</w:t>
      </w:r>
      <w:r w:rsidR="00D730A4" w:rsidRPr="00AA4D94">
        <w:rPr>
          <w:rFonts w:ascii="Palatino Linotype" w:hAnsi="Palatino Linotype"/>
        </w:rPr>
        <w:t xml:space="preserve"> </w:t>
      </w:r>
      <w:r w:rsidRPr="00AA4D94">
        <w:rPr>
          <w:rFonts w:ascii="Palatino Linotype" w:hAnsi="Palatino Linotype"/>
        </w:rPr>
        <w:t>la</w:t>
      </w:r>
      <w:r w:rsidR="00D730A4" w:rsidRPr="00AA4D94">
        <w:rPr>
          <w:rFonts w:ascii="Palatino Linotype" w:hAnsi="Palatino Linotype"/>
        </w:rPr>
        <w:t xml:space="preserve"> </w:t>
      </w:r>
      <w:r w:rsidRPr="00AA4D94">
        <w:rPr>
          <w:rFonts w:ascii="Palatino Linotype" w:hAnsi="Palatino Linotype"/>
        </w:rPr>
        <w:t>información</w:t>
      </w:r>
      <w:r w:rsidR="00D730A4" w:rsidRPr="00AA4D94">
        <w:rPr>
          <w:rFonts w:ascii="Palatino Linotype" w:hAnsi="Palatino Linotype"/>
        </w:rPr>
        <w:t xml:space="preserve"> </w:t>
      </w:r>
      <w:r w:rsidRPr="00AA4D94">
        <w:rPr>
          <w:rFonts w:ascii="Palatino Linotype" w:hAnsi="Palatino Linotype"/>
        </w:rPr>
        <w:t>pública,</w:t>
      </w:r>
      <w:r w:rsidR="00D730A4" w:rsidRPr="00AA4D94">
        <w:rPr>
          <w:rFonts w:ascii="Palatino Linotype" w:hAnsi="Palatino Linotype"/>
        </w:rPr>
        <w:t xml:space="preserve"> </w:t>
      </w:r>
      <w:r w:rsidR="00345471" w:rsidRPr="00AA4D94">
        <w:rPr>
          <w:rFonts w:ascii="Palatino Linotype" w:hAnsi="Palatino Linotype"/>
        </w:rPr>
        <w:t xml:space="preserve">a la que se le asignó el número </w:t>
      </w:r>
      <w:r w:rsidR="004E6868" w:rsidRPr="00AA4D94">
        <w:rPr>
          <w:rFonts w:ascii="Palatino Linotype" w:hAnsi="Palatino Linotype"/>
          <w:b/>
          <w:bCs/>
        </w:rPr>
        <w:t>00028/DONAGUER/IP/2018</w:t>
      </w:r>
      <w:r w:rsidR="00345471" w:rsidRPr="00AA4D94">
        <w:rPr>
          <w:rFonts w:ascii="Palatino Linotype" w:hAnsi="Palatino Linotype"/>
        </w:rPr>
        <w:t xml:space="preserve">, </w:t>
      </w:r>
      <w:r w:rsidR="00002897" w:rsidRPr="00AA4D94">
        <w:rPr>
          <w:rFonts w:ascii="Palatino Linotype" w:hAnsi="Palatino Linotype"/>
        </w:rPr>
        <w:t>mediante la cual requirió por dicha vía:</w:t>
      </w:r>
    </w:p>
    <w:p w:rsidR="00A327E0" w:rsidRPr="00AA4D94" w:rsidRDefault="00A327E0" w:rsidP="0079008C">
      <w:pPr>
        <w:spacing w:before="120" w:after="120"/>
        <w:ind w:left="709" w:right="709"/>
        <w:jc w:val="both"/>
        <w:rPr>
          <w:rFonts w:ascii="Palatino Linotype" w:hAnsi="Palatino Linotype"/>
          <w:sz w:val="22"/>
          <w:szCs w:val="22"/>
        </w:rPr>
      </w:pPr>
      <w:r w:rsidRPr="00AA4D94">
        <w:rPr>
          <w:rFonts w:ascii="Palatino Linotype" w:hAnsi="Palatino Linotype" w:cs="Arial"/>
          <w:i/>
          <w:sz w:val="22"/>
          <w:szCs w:val="22"/>
        </w:rPr>
        <w:t>“</w:t>
      </w:r>
      <w:r w:rsidR="004E6868" w:rsidRPr="00AA4D94">
        <w:rPr>
          <w:rFonts w:ascii="Palatino Linotype" w:hAnsi="Palatino Linotype" w:cs="Arial"/>
          <w:i/>
          <w:sz w:val="22"/>
          <w:szCs w:val="22"/>
        </w:rPr>
        <w:t>SE ADJUNTA DOCUMENTO</w:t>
      </w:r>
      <w:r w:rsidR="00DA209E" w:rsidRPr="00AA4D94">
        <w:rPr>
          <w:rFonts w:ascii="Palatino Linotype" w:hAnsi="Palatino Linotype" w:cs="Arial"/>
          <w:i/>
          <w:sz w:val="22"/>
          <w:szCs w:val="22"/>
        </w:rPr>
        <w:t>”</w:t>
      </w:r>
      <w:r w:rsidR="00D730A4" w:rsidRPr="00AA4D94">
        <w:rPr>
          <w:rFonts w:ascii="Palatino Linotype" w:hAnsi="Palatino Linotype" w:cs="Arial"/>
          <w:i/>
          <w:sz w:val="22"/>
          <w:szCs w:val="22"/>
        </w:rPr>
        <w:t xml:space="preserve"> </w:t>
      </w:r>
      <w:r w:rsidRPr="00AA4D94">
        <w:rPr>
          <w:rFonts w:ascii="Palatino Linotype" w:hAnsi="Palatino Linotype"/>
          <w:sz w:val="22"/>
          <w:szCs w:val="22"/>
        </w:rPr>
        <w:t>(Sic)</w:t>
      </w:r>
    </w:p>
    <w:p w:rsidR="00E3615D" w:rsidRPr="00AA4D94" w:rsidRDefault="00E3615D" w:rsidP="0079008C">
      <w:pPr>
        <w:pStyle w:val="Prrafodelista"/>
        <w:widowControl w:val="0"/>
        <w:tabs>
          <w:tab w:val="left" w:pos="0"/>
        </w:tabs>
        <w:autoSpaceDE w:val="0"/>
        <w:autoSpaceDN w:val="0"/>
        <w:adjustRightInd w:val="0"/>
        <w:spacing w:before="240" w:after="120" w:line="360" w:lineRule="auto"/>
        <w:ind w:left="0"/>
        <w:jc w:val="both"/>
        <w:rPr>
          <w:rFonts w:ascii="Palatino Linotype" w:hAnsi="Palatino Linotype"/>
        </w:rPr>
      </w:pPr>
      <w:r w:rsidRPr="00AA4D94">
        <w:rPr>
          <w:rFonts w:ascii="Palatino Linotype" w:hAnsi="Palatino Linotype"/>
        </w:rPr>
        <w:t xml:space="preserve">En ese sentido, </w:t>
      </w:r>
      <w:r w:rsidR="00404B4E" w:rsidRPr="00AA4D94">
        <w:rPr>
          <w:rFonts w:ascii="Palatino Linotype" w:hAnsi="Palatino Linotype" w:cs="Arial"/>
          <w:b/>
        </w:rPr>
        <w:t>LA RECURRENTE</w:t>
      </w:r>
      <w:r w:rsidRPr="00AA4D94">
        <w:rPr>
          <w:rFonts w:ascii="Palatino Linotype" w:hAnsi="Palatino Linotype" w:cs="Arial"/>
          <w:b/>
        </w:rPr>
        <w:t xml:space="preserve"> </w:t>
      </w:r>
      <w:r w:rsidRPr="00AA4D94">
        <w:rPr>
          <w:rFonts w:ascii="Palatino Linotype" w:hAnsi="Palatino Linotype" w:cs="Arial"/>
        </w:rPr>
        <w:t xml:space="preserve">adjuntó a su solicitud el archivo electrónico denominado </w:t>
      </w:r>
      <w:r w:rsidRPr="00AA4D94">
        <w:rPr>
          <w:rFonts w:ascii="Palatino Linotype" w:hAnsi="Palatino Linotype" w:cs="Arial"/>
          <w:b/>
          <w:i/>
        </w:rPr>
        <w:t>Preguntas_Alumbrado_Nov_2018.pdf</w:t>
      </w:r>
      <w:r w:rsidRPr="00AA4D94">
        <w:rPr>
          <w:rFonts w:ascii="Palatino Linotype" w:hAnsi="Palatino Linotype" w:cs="Arial"/>
        </w:rPr>
        <w:t>, cuyo contenido se inserta a continuación:</w:t>
      </w:r>
    </w:p>
    <w:p w:rsidR="00E3615D" w:rsidRPr="00AA4D94" w:rsidRDefault="00E3615D" w:rsidP="0079008C">
      <w:pPr>
        <w:spacing w:before="120" w:after="120"/>
        <w:ind w:left="1134" w:right="709" w:hanging="425"/>
        <w:jc w:val="both"/>
        <w:rPr>
          <w:rFonts w:ascii="Palatino Linotype" w:eastAsiaTheme="minorEastAsia" w:hAnsi="Palatino Linotype" w:cs="Arial"/>
          <w:b/>
          <w:bCs/>
          <w:i/>
          <w:sz w:val="22"/>
          <w:szCs w:val="22"/>
        </w:rPr>
      </w:pPr>
      <w:r w:rsidRPr="00AA4D94">
        <w:rPr>
          <w:rFonts w:ascii="Palatino Linotype" w:eastAsiaTheme="minorEastAsia" w:hAnsi="Palatino Linotype" w:cs="Arial"/>
          <w:i/>
          <w:color w:val="000000"/>
          <w:sz w:val="22"/>
          <w:szCs w:val="22"/>
        </w:rPr>
        <w:t>“</w:t>
      </w:r>
      <w:r w:rsidRPr="00AA4D94">
        <w:rPr>
          <w:rFonts w:ascii="Palatino Linotype" w:eastAsiaTheme="minorEastAsia" w:hAnsi="Palatino Linotype" w:cs="Arial"/>
          <w:b/>
          <w:bCs/>
          <w:i/>
          <w:sz w:val="22"/>
          <w:szCs w:val="22"/>
        </w:rPr>
        <w:t>I.-</w:t>
      </w:r>
      <w:r w:rsidR="00FA47FA" w:rsidRPr="00AA4D94">
        <w:rPr>
          <w:rFonts w:ascii="Palatino Linotype" w:eastAsiaTheme="minorEastAsia" w:hAnsi="Palatino Linotype" w:cs="Arial"/>
          <w:b/>
          <w:bCs/>
          <w:i/>
          <w:sz w:val="22"/>
          <w:szCs w:val="22"/>
        </w:rPr>
        <w:t xml:space="preserve"> </w:t>
      </w:r>
      <w:r w:rsidRPr="00AA4D94">
        <w:rPr>
          <w:rFonts w:ascii="Palatino Linotype" w:eastAsiaTheme="minorEastAsia" w:hAnsi="Palatino Linotype" w:cs="Arial"/>
          <w:b/>
          <w:bCs/>
          <w:i/>
          <w:sz w:val="22"/>
          <w:szCs w:val="22"/>
        </w:rPr>
        <w:t>PRESUPUESTO DEL SISTEMA DE ALUMBRADO PÚBLICO MUNICIPAL.</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iCs/>
          <w:sz w:val="22"/>
          <w:szCs w:val="22"/>
        </w:rPr>
      </w:pPr>
      <w:r w:rsidRPr="00AA4D94">
        <w:rPr>
          <w:rFonts w:ascii="Palatino Linotype" w:eastAsiaTheme="minorEastAsia" w:hAnsi="Palatino Linotype" w:cs="Arial"/>
          <w:i/>
          <w:sz w:val="22"/>
          <w:szCs w:val="22"/>
        </w:rPr>
        <w:t>1.</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iCs/>
          <w:sz w:val="22"/>
          <w:szCs w:val="22"/>
        </w:rPr>
        <w:t xml:space="preserve">El importe por concepto de alumbrado público facturado por CFE en el municipio, desglosado ya sea por mes o bimestre, de los años 2013, 2014, 2015, 2016, 2017 y los meses que van de 2018.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iCs/>
          <w:sz w:val="22"/>
          <w:szCs w:val="22"/>
        </w:rPr>
      </w:pPr>
      <w:r w:rsidRPr="00AA4D94">
        <w:rPr>
          <w:rFonts w:ascii="Palatino Linotype" w:eastAsiaTheme="minorEastAsia" w:hAnsi="Palatino Linotype" w:cs="Arial"/>
          <w:i/>
          <w:iCs/>
          <w:sz w:val="22"/>
          <w:szCs w:val="22"/>
        </w:rPr>
        <w:lastRenderedPageBreak/>
        <w:t>2.</w:t>
      </w:r>
      <w:r w:rsidR="00FA47FA" w:rsidRPr="00AA4D94">
        <w:rPr>
          <w:rFonts w:ascii="Palatino Linotype" w:eastAsiaTheme="minorEastAsia" w:hAnsi="Palatino Linotype" w:cs="Arial"/>
          <w:i/>
          <w:iCs/>
          <w:sz w:val="22"/>
          <w:szCs w:val="22"/>
        </w:rPr>
        <w:t xml:space="preserve"> </w:t>
      </w:r>
      <w:r w:rsidRPr="00AA4D94">
        <w:rPr>
          <w:rFonts w:ascii="Palatino Linotype" w:eastAsiaTheme="minorEastAsia" w:hAnsi="Palatino Linotype" w:cs="Arial"/>
          <w:i/>
          <w:iCs/>
          <w:sz w:val="22"/>
          <w:szCs w:val="22"/>
        </w:rPr>
        <w:t xml:space="preserve">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iCs/>
          <w:sz w:val="22"/>
          <w:szCs w:val="22"/>
        </w:rPr>
      </w:pPr>
      <w:r w:rsidRPr="00AA4D94">
        <w:rPr>
          <w:rFonts w:ascii="Palatino Linotype" w:eastAsiaTheme="minorEastAsia" w:hAnsi="Palatino Linotype" w:cs="Arial"/>
          <w:i/>
          <w:iCs/>
          <w:sz w:val="22"/>
          <w:szCs w:val="22"/>
        </w:rPr>
        <w:t>3.</w:t>
      </w:r>
      <w:r w:rsidR="00FA47FA" w:rsidRPr="00AA4D94">
        <w:rPr>
          <w:rFonts w:ascii="Palatino Linotype" w:eastAsiaTheme="minorEastAsia" w:hAnsi="Palatino Linotype" w:cs="Arial"/>
          <w:i/>
          <w:iCs/>
          <w:sz w:val="22"/>
          <w:szCs w:val="22"/>
        </w:rPr>
        <w:t xml:space="preserve"> </w:t>
      </w:r>
      <w:r w:rsidRPr="00AA4D94">
        <w:rPr>
          <w:rFonts w:ascii="Palatino Linotype" w:eastAsiaTheme="minorEastAsia" w:hAnsi="Palatino Linotype" w:cs="Arial"/>
          <w:i/>
          <w:iCs/>
          <w:sz w:val="22"/>
          <w:szCs w:val="22"/>
        </w:rPr>
        <w:t xml:space="preserve">La o las partidas presupuestales que se utilizaron y los montos que se erogaron dentro del presupuesto de egresos municipal para el mantenimiento del sistema de alumbrado público durante los años 2013, 2014, 2015, 2016, 2017 y los meses que van del 2018.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iCs/>
          <w:sz w:val="22"/>
          <w:szCs w:val="22"/>
        </w:rPr>
      </w:pPr>
      <w:r w:rsidRPr="00AA4D94">
        <w:rPr>
          <w:rFonts w:ascii="Palatino Linotype" w:eastAsiaTheme="minorEastAsia" w:hAnsi="Palatino Linotype" w:cs="Arial"/>
          <w:i/>
          <w:iCs/>
          <w:sz w:val="22"/>
          <w:szCs w:val="22"/>
        </w:rPr>
        <w:t>4.</w:t>
      </w:r>
      <w:r w:rsidR="00FA47FA" w:rsidRPr="00AA4D94">
        <w:rPr>
          <w:rFonts w:ascii="Palatino Linotype" w:eastAsiaTheme="minorEastAsia" w:hAnsi="Palatino Linotype" w:cs="Arial"/>
          <w:i/>
          <w:iCs/>
          <w:sz w:val="22"/>
          <w:szCs w:val="22"/>
        </w:rPr>
        <w:t xml:space="preserve"> </w:t>
      </w:r>
      <w:r w:rsidRPr="00AA4D94">
        <w:rPr>
          <w:rFonts w:ascii="Palatino Linotype" w:eastAsiaTheme="minorEastAsia" w:hAnsi="Palatino Linotype" w:cs="Arial"/>
          <w:i/>
          <w:iCs/>
          <w:sz w:val="22"/>
          <w:szCs w:val="22"/>
        </w:rPr>
        <w:t xml:space="preserve">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iCs/>
          <w:sz w:val="22"/>
          <w:szCs w:val="22"/>
        </w:rPr>
      </w:pPr>
      <w:r w:rsidRPr="00AA4D94">
        <w:rPr>
          <w:rFonts w:ascii="Palatino Linotype" w:eastAsiaTheme="minorEastAsia" w:hAnsi="Palatino Linotype" w:cs="Arial"/>
          <w:i/>
          <w:iCs/>
          <w:sz w:val="22"/>
          <w:szCs w:val="22"/>
        </w:rPr>
        <w:t>5.</w:t>
      </w:r>
      <w:r w:rsidR="00FA47FA" w:rsidRPr="00AA4D94">
        <w:rPr>
          <w:rFonts w:ascii="Palatino Linotype" w:eastAsiaTheme="minorEastAsia" w:hAnsi="Palatino Linotype" w:cs="Arial"/>
          <w:i/>
          <w:iCs/>
          <w:sz w:val="22"/>
          <w:szCs w:val="22"/>
        </w:rPr>
        <w:t xml:space="preserve"> </w:t>
      </w:r>
      <w:r w:rsidRPr="00AA4D94">
        <w:rPr>
          <w:rFonts w:ascii="Palatino Linotype" w:eastAsiaTheme="minorEastAsia" w:hAnsi="Palatino Linotype" w:cs="Arial"/>
          <w:i/>
          <w:iCs/>
          <w:sz w:val="22"/>
          <w:szCs w:val="22"/>
        </w:rPr>
        <w:t xml:space="preserve">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 </w:t>
      </w:r>
    </w:p>
    <w:p w:rsidR="00E3615D" w:rsidRPr="00AA4D94" w:rsidRDefault="00E3615D" w:rsidP="0079008C">
      <w:pPr>
        <w:spacing w:before="120" w:after="120"/>
        <w:ind w:left="1134" w:right="709" w:hanging="425"/>
        <w:jc w:val="both"/>
        <w:rPr>
          <w:rFonts w:ascii="Palatino Linotype" w:eastAsiaTheme="minorEastAsia" w:hAnsi="Palatino Linotype" w:cs="Arial"/>
          <w:b/>
          <w:bCs/>
          <w:i/>
          <w:sz w:val="22"/>
          <w:szCs w:val="22"/>
        </w:rPr>
      </w:pPr>
      <w:r w:rsidRPr="00AA4D94">
        <w:rPr>
          <w:rFonts w:ascii="Palatino Linotype" w:eastAsiaTheme="minorEastAsia" w:hAnsi="Palatino Linotype" w:cs="Arial"/>
          <w:b/>
          <w:bCs/>
          <w:i/>
          <w:sz w:val="22"/>
          <w:szCs w:val="22"/>
        </w:rPr>
        <w:t>II.-</w:t>
      </w:r>
      <w:r w:rsidR="00FA47FA" w:rsidRPr="00AA4D94">
        <w:rPr>
          <w:rFonts w:ascii="Palatino Linotype" w:eastAsiaTheme="minorEastAsia" w:hAnsi="Palatino Linotype" w:cs="Arial"/>
          <w:b/>
          <w:bCs/>
          <w:i/>
          <w:sz w:val="22"/>
          <w:szCs w:val="22"/>
        </w:rPr>
        <w:t xml:space="preserve"> </w:t>
      </w:r>
      <w:r w:rsidRPr="00AA4D94">
        <w:rPr>
          <w:rFonts w:ascii="Palatino Linotype" w:eastAsiaTheme="minorEastAsia" w:hAnsi="Palatino Linotype" w:cs="Arial"/>
          <w:b/>
          <w:bCs/>
          <w:i/>
          <w:sz w:val="22"/>
          <w:szCs w:val="22"/>
        </w:rPr>
        <w:t xml:space="preserve">INFRAESTRUCTURA DEL SISTEMA DE ALUMBRADO PÚBLICO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iCs/>
          <w:sz w:val="22"/>
          <w:szCs w:val="22"/>
        </w:rPr>
        <w:t>6.</w:t>
      </w:r>
      <w:r w:rsidR="00FA47FA" w:rsidRPr="00AA4D94">
        <w:rPr>
          <w:rFonts w:ascii="Palatino Linotype" w:eastAsiaTheme="minorEastAsia" w:hAnsi="Palatino Linotype" w:cs="Arial"/>
          <w:i/>
          <w:iCs/>
          <w:sz w:val="22"/>
          <w:szCs w:val="22"/>
        </w:rPr>
        <w:t xml:space="preserve"> </w:t>
      </w:r>
      <w:r w:rsidRPr="00AA4D94">
        <w:rPr>
          <w:rFonts w:ascii="Palatino Linotype" w:eastAsiaTheme="minorEastAsia" w:hAnsi="Palatino Linotype" w:cs="Arial"/>
          <w:i/>
          <w:iCs/>
          <w:sz w:val="22"/>
          <w:szCs w:val="22"/>
        </w:rPr>
        <w:t>Se solicita el censo de alumbrado público de los ejercicios 2016, 2017, 2018 o en su caso, el censo más reciente del municipio, en el que se desglose la siguiente información:</w:t>
      </w:r>
      <w:r w:rsidRPr="00AA4D94">
        <w:rPr>
          <w:rFonts w:ascii="Palatino Linotype" w:eastAsiaTheme="minorEastAsia" w:hAnsi="Palatino Linotype" w:cs="Arial"/>
          <w:i/>
          <w:sz w:val="22"/>
          <w:szCs w:val="22"/>
        </w:rPr>
        <w:t xml:space="preserve">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a.</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Me indique la cantidad de luminarias y balastros, el tipo de equipos, la capacidad (</w:t>
      </w:r>
      <w:r w:rsidRPr="00AA4D94">
        <w:rPr>
          <w:rFonts w:ascii="Palatino Linotype" w:eastAsiaTheme="minorEastAsia" w:hAnsi="Palatino Linotype" w:cs="Arial"/>
          <w:b/>
          <w:bCs/>
          <w:i/>
          <w:sz w:val="22"/>
          <w:szCs w:val="22"/>
        </w:rPr>
        <w:t>potencia</w:t>
      </w:r>
      <w:r w:rsidRPr="00AA4D94">
        <w:rPr>
          <w:rFonts w:ascii="Palatino Linotype" w:eastAsiaTheme="minorEastAsia" w:hAnsi="Palatino Linotype" w:cs="Arial"/>
          <w:i/>
          <w:sz w:val="22"/>
          <w:szCs w:val="22"/>
        </w:rPr>
        <w:t>), la ubicación (</w:t>
      </w:r>
      <w:r w:rsidRPr="00AA4D94">
        <w:rPr>
          <w:rFonts w:ascii="Palatino Linotype" w:eastAsiaTheme="minorEastAsia" w:hAnsi="Palatino Linotype" w:cs="Arial"/>
          <w:b/>
          <w:bCs/>
          <w:i/>
          <w:sz w:val="22"/>
          <w:szCs w:val="22"/>
        </w:rPr>
        <w:t>calle y/o colonia y/o delegación</w:t>
      </w:r>
      <w:r w:rsidRPr="00AA4D94">
        <w:rPr>
          <w:rFonts w:ascii="Palatino Linotype" w:eastAsiaTheme="minorEastAsia" w:hAnsi="Palatino Linotype" w:cs="Arial"/>
          <w:i/>
          <w:sz w:val="22"/>
          <w:szCs w:val="22"/>
        </w:rPr>
        <w:t>), y el tipo de poste en el que están montadas las luminarias (</w:t>
      </w:r>
      <w:r w:rsidRPr="00AA4D94">
        <w:rPr>
          <w:rFonts w:ascii="Palatino Linotype" w:eastAsiaTheme="minorEastAsia" w:hAnsi="Palatino Linotype" w:cs="Arial"/>
          <w:b/>
          <w:bCs/>
          <w:i/>
          <w:sz w:val="22"/>
          <w:szCs w:val="22"/>
        </w:rPr>
        <w:t>lámina, concreto, madera etcétera</w:t>
      </w:r>
      <w:r w:rsidRPr="00AA4D94">
        <w:rPr>
          <w:rFonts w:ascii="Palatino Linotype" w:eastAsiaTheme="minorEastAsia" w:hAnsi="Palatino Linotype" w:cs="Arial"/>
          <w:i/>
          <w:sz w:val="22"/>
          <w:szCs w:val="22"/>
        </w:rPr>
        <w:t xml:space="preserve">).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b.</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w:t>
      </w:r>
      <w:r w:rsidRPr="00AA4D94">
        <w:rPr>
          <w:rFonts w:ascii="Palatino Linotype" w:eastAsiaTheme="minorEastAsia" w:hAnsi="Palatino Linotype" w:cs="Arial"/>
          <w:b/>
          <w:bCs/>
          <w:i/>
          <w:sz w:val="22"/>
          <w:szCs w:val="22"/>
        </w:rPr>
        <w:t xml:space="preserve">Registro Permanente de Usuario </w:t>
      </w:r>
      <w:r w:rsidRPr="00AA4D94">
        <w:rPr>
          <w:rFonts w:ascii="Palatino Linotype" w:eastAsiaTheme="minorEastAsia" w:hAnsi="Palatino Linotype" w:cs="Arial"/>
          <w:i/>
          <w:sz w:val="22"/>
          <w:szCs w:val="22"/>
        </w:rPr>
        <w:t xml:space="preserve">(RPU o RPUs) asignado (s) al servicio de alumbrado público municipal </w:t>
      </w:r>
      <w:r w:rsidRPr="00AA4D94">
        <w:rPr>
          <w:rFonts w:ascii="Palatino Linotype" w:eastAsiaTheme="minorEastAsia" w:hAnsi="Palatino Linotype" w:cs="Arial"/>
          <w:b/>
          <w:bCs/>
          <w:i/>
          <w:sz w:val="22"/>
          <w:szCs w:val="22"/>
        </w:rPr>
        <w:t>tanto del servicio estimado como del servicio medido</w:t>
      </w:r>
      <w:r w:rsidRPr="00AA4D94">
        <w:rPr>
          <w:rFonts w:ascii="Palatino Linotype" w:eastAsiaTheme="minorEastAsia" w:hAnsi="Palatino Linotype" w:cs="Arial"/>
          <w:i/>
          <w:sz w:val="22"/>
          <w:szCs w:val="22"/>
        </w:rPr>
        <w:t xml:space="preserve">.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c.</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cantidad desglosada de luminarias y balastros instalados, el tipo de equipos y su capacidad (potencia) </w:t>
      </w:r>
      <w:r w:rsidRPr="00AA4D94">
        <w:rPr>
          <w:rFonts w:ascii="Palatino Linotype" w:eastAsiaTheme="minorEastAsia" w:hAnsi="Palatino Linotype" w:cs="Arial"/>
          <w:b/>
          <w:bCs/>
          <w:i/>
          <w:sz w:val="22"/>
          <w:szCs w:val="22"/>
        </w:rPr>
        <w:t xml:space="preserve">instalados en las avenidas principales del municipio.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d.</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cantidad de luminarias y balastros instalados, el tipo de equipos y su capacidad (potencia) instalados que </w:t>
      </w:r>
      <w:r w:rsidRPr="00AA4D94">
        <w:rPr>
          <w:rFonts w:ascii="Palatino Linotype" w:eastAsiaTheme="minorEastAsia" w:hAnsi="Palatino Linotype" w:cs="Arial"/>
          <w:b/>
          <w:bCs/>
          <w:i/>
          <w:sz w:val="22"/>
          <w:szCs w:val="22"/>
        </w:rPr>
        <w:t>poseen equipo de medición</w:t>
      </w:r>
      <w:r w:rsidRPr="00AA4D94">
        <w:rPr>
          <w:rFonts w:ascii="Palatino Linotype" w:eastAsiaTheme="minorEastAsia" w:hAnsi="Palatino Linotype" w:cs="Arial"/>
          <w:i/>
          <w:sz w:val="22"/>
          <w:szCs w:val="22"/>
        </w:rPr>
        <w:t xml:space="preserve">.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lastRenderedPageBreak/>
        <w:t>7.</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Del </w:t>
      </w:r>
      <w:r w:rsidRPr="00AA4D94">
        <w:rPr>
          <w:rFonts w:ascii="Palatino Linotype" w:eastAsiaTheme="minorEastAsia" w:hAnsi="Palatino Linotype" w:cs="Arial"/>
          <w:i/>
          <w:iCs/>
          <w:sz w:val="22"/>
          <w:szCs w:val="22"/>
        </w:rPr>
        <w:t xml:space="preserve">censo anterior al censo más reciente </w:t>
      </w:r>
      <w:r w:rsidRPr="00AA4D94">
        <w:rPr>
          <w:rFonts w:ascii="Palatino Linotype" w:eastAsiaTheme="minorEastAsia" w:hAnsi="Palatino Linotype" w:cs="Arial"/>
          <w:i/>
          <w:sz w:val="22"/>
          <w:szCs w:val="22"/>
        </w:rPr>
        <w:t xml:space="preserve">de luminarias y balastros del sistema de alumbrado público municipal que exista en el municipio, que contenga la siguiente información: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e.</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cantidad de luminarias y balastros, el tipo de equipos, la capacidad (potencia), la ubicación (calle y/o colonia y/o delegación) y el tipo de poste en el que están montadas las luminarias (lámina, concreto, madera, etcétera).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f.</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w:t>
      </w:r>
      <w:r w:rsidRPr="00AA4D94">
        <w:rPr>
          <w:rFonts w:ascii="Palatino Linotype" w:eastAsiaTheme="minorEastAsia" w:hAnsi="Palatino Linotype" w:cs="Arial"/>
          <w:b/>
          <w:bCs/>
          <w:i/>
          <w:sz w:val="22"/>
          <w:szCs w:val="22"/>
        </w:rPr>
        <w:t xml:space="preserve">Registro Permanente de Usuario </w:t>
      </w:r>
      <w:r w:rsidRPr="00AA4D94">
        <w:rPr>
          <w:rFonts w:ascii="Palatino Linotype" w:eastAsiaTheme="minorEastAsia" w:hAnsi="Palatino Linotype" w:cs="Arial"/>
          <w:i/>
          <w:sz w:val="22"/>
          <w:szCs w:val="22"/>
        </w:rPr>
        <w:t xml:space="preserve">(RPU o RPUs) asignado (s) al servicio de alumbrado público municipal tanto del servicio estimado como del servicio medido. </w:t>
      </w:r>
    </w:p>
    <w:p w:rsidR="00E3615D" w:rsidRPr="00AA4D94" w:rsidRDefault="00E3615D" w:rsidP="0079008C">
      <w:pPr>
        <w:spacing w:before="120" w:after="120"/>
        <w:ind w:left="1134" w:right="709" w:hanging="425"/>
        <w:jc w:val="both"/>
        <w:rPr>
          <w:rFonts w:ascii="Palatino Linotype" w:eastAsiaTheme="minorEastAsia" w:hAnsi="Palatino Linotype" w:cs="Arial"/>
          <w:b/>
          <w:bCs/>
          <w:i/>
          <w:sz w:val="22"/>
          <w:szCs w:val="22"/>
        </w:rPr>
      </w:pPr>
      <w:r w:rsidRPr="00AA4D94">
        <w:rPr>
          <w:rFonts w:ascii="Palatino Linotype" w:eastAsiaTheme="minorEastAsia" w:hAnsi="Palatino Linotype" w:cs="Arial"/>
          <w:b/>
          <w:bCs/>
          <w:i/>
          <w:sz w:val="22"/>
          <w:szCs w:val="22"/>
        </w:rPr>
        <w:t>III.-</w:t>
      </w:r>
      <w:r w:rsidR="00FA47FA" w:rsidRPr="00AA4D94">
        <w:rPr>
          <w:rFonts w:ascii="Palatino Linotype" w:eastAsiaTheme="minorEastAsia" w:hAnsi="Palatino Linotype" w:cs="Arial"/>
          <w:b/>
          <w:bCs/>
          <w:i/>
          <w:sz w:val="22"/>
          <w:szCs w:val="22"/>
        </w:rPr>
        <w:t xml:space="preserve"> </w:t>
      </w:r>
      <w:r w:rsidRPr="00AA4D94">
        <w:rPr>
          <w:rFonts w:ascii="Palatino Linotype" w:eastAsiaTheme="minorEastAsia" w:hAnsi="Palatino Linotype" w:cs="Arial"/>
          <w:b/>
          <w:bCs/>
          <w:i/>
          <w:sz w:val="22"/>
          <w:szCs w:val="22"/>
        </w:rPr>
        <w:t>COBERTURA (EXPANSIÓN) DEL SISTEMA DE ALUMBRADO PÚBLICO.</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8.</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En caso de que el municipio haya realizado un </w:t>
      </w:r>
      <w:r w:rsidRPr="00AA4D94">
        <w:rPr>
          <w:rFonts w:ascii="Palatino Linotype" w:eastAsiaTheme="minorEastAsia" w:hAnsi="Palatino Linotype" w:cs="Arial"/>
          <w:i/>
          <w:iCs/>
          <w:sz w:val="22"/>
          <w:szCs w:val="22"/>
        </w:rPr>
        <w:t xml:space="preserve">proyecto de electrificación </w:t>
      </w:r>
      <w:r w:rsidRPr="00AA4D94">
        <w:rPr>
          <w:rFonts w:ascii="Palatino Linotype" w:eastAsiaTheme="minorEastAsia" w:hAnsi="Palatino Linotype" w:cs="Arial"/>
          <w:i/>
          <w:sz w:val="22"/>
          <w:szCs w:val="22"/>
        </w:rPr>
        <w:t xml:space="preserve">para ampliar el sistema de alumbrado público y ofrecer este servicio a la o las </w:t>
      </w:r>
      <w:r w:rsidRPr="00AA4D94">
        <w:rPr>
          <w:rFonts w:ascii="Palatino Linotype" w:eastAsiaTheme="minorEastAsia" w:hAnsi="Palatino Linotype" w:cs="Arial"/>
          <w:i/>
          <w:iCs/>
          <w:sz w:val="22"/>
          <w:szCs w:val="22"/>
        </w:rPr>
        <w:t>comunidades</w:t>
      </w:r>
      <w:r w:rsidRPr="00AA4D94">
        <w:rPr>
          <w:rFonts w:ascii="Palatino Linotype" w:eastAsiaTheme="minorEastAsia" w:hAnsi="Palatino Linotype" w:cs="Arial"/>
          <w:i/>
          <w:sz w:val="22"/>
          <w:szCs w:val="22"/>
        </w:rPr>
        <w:t xml:space="preserve"> durante los años 2013, 2014, 2015, 2016, 2017 y los meses que van de 2018, solicito la siguiente información desglosada: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a.</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monto total de la inversión,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b.</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tipo o fuente de financiamiento (recurso propio, recurso estatal, recurso federal, crédito, arrendamiento, APP, etcétera),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c.</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cantidad de equipos colocados y/o sustituidos,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d.</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tipo de equipos (Led, VSAP, suburbana, etcétera),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e.</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capacidad instalada (potencia),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f.</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ubicación (calle y/o colonia y/o delegación).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g.</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fecha de inicio y término de obra,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h.</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Así como la fecha de modificación de su nuevo consumo en el sistema de facturación del alumbrado público ante CFE.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i.</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En donde se notificaron o publicaron los proyectos. </w:t>
      </w:r>
    </w:p>
    <w:p w:rsidR="00E3615D" w:rsidRPr="00AA4D94" w:rsidRDefault="00E3615D" w:rsidP="0079008C">
      <w:pPr>
        <w:spacing w:before="120" w:after="120"/>
        <w:ind w:left="1134" w:right="709" w:hanging="425"/>
        <w:jc w:val="both"/>
        <w:rPr>
          <w:rFonts w:ascii="Palatino Linotype" w:eastAsiaTheme="minorEastAsia" w:hAnsi="Palatino Linotype" w:cs="Arial"/>
          <w:b/>
          <w:bCs/>
          <w:i/>
          <w:sz w:val="22"/>
          <w:szCs w:val="22"/>
        </w:rPr>
      </w:pPr>
      <w:r w:rsidRPr="00AA4D94">
        <w:rPr>
          <w:rFonts w:ascii="Palatino Linotype" w:eastAsiaTheme="minorEastAsia" w:hAnsi="Palatino Linotype" w:cs="Arial"/>
          <w:b/>
          <w:bCs/>
          <w:i/>
          <w:sz w:val="22"/>
          <w:szCs w:val="22"/>
        </w:rPr>
        <w:t>IV.-</w:t>
      </w:r>
      <w:r w:rsidR="00FA47FA" w:rsidRPr="00AA4D94">
        <w:rPr>
          <w:rFonts w:ascii="Palatino Linotype" w:eastAsiaTheme="minorEastAsia" w:hAnsi="Palatino Linotype" w:cs="Arial"/>
          <w:b/>
          <w:bCs/>
          <w:i/>
          <w:sz w:val="22"/>
          <w:szCs w:val="22"/>
        </w:rPr>
        <w:t xml:space="preserve"> </w:t>
      </w:r>
      <w:r w:rsidRPr="00AA4D94">
        <w:rPr>
          <w:rFonts w:ascii="Palatino Linotype" w:eastAsiaTheme="minorEastAsia" w:hAnsi="Palatino Linotype" w:cs="Arial"/>
          <w:b/>
          <w:bCs/>
          <w:i/>
          <w:sz w:val="22"/>
          <w:szCs w:val="22"/>
        </w:rPr>
        <w:t xml:space="preserve">MODERNIZACIÓN DEL SISTEMA DE ALUMBRADO PÚBLICO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9.</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En caso de que el municipio haya realizado un proyecto parcial o total de modernización de alumbrado público para generar eficiencia energética en  sus </w:t>
      </w:r>
      <w:r w:rsidRPr="00AA4D94">
        <w:rPr>
          <w:rFonts w:ascii="Palatino Linotype" w:eastAsiaTheme="minorEastAsia" w:hAnsi="Palatino Linotype" w:cs="Arial"/>
          <w:i/>
          <w:iCs/>
          <w:sz w:val="22"/>
          <w:szCs w:val="22"/>
        </w:rPr>
        <w:t>consumos</w:t>
      </w:r>
      <w:r w:rsidRPr="00AA4D94">
        <w:rPr>
          <w:rFonts w:ascii="Palatino Linotype" w:eastAsiaTheme="minorEastAsia" w:hAnsi="Palatino Linotype" w:cs="Arial"/>
          <w:i/>
          <w:sz w:val="22"/>
          <w:szCs w:val="22"/>
        </w:rPr>
        <w:t xml:space="preserve"> en los años 2013, 2014, 2015, 2016, 2017 y los meses que van de 2018, solicito: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a.</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monto total de la inversión,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lastRenderedPageBreak/>
        <w:t>b.</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tipo o fuente de financiamiento (recurso propio, recurso estatal, recurso federal, crédito, arrendamiento, APP, etcétera),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c.</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cantidad de equipos colocados y/o sustituidos,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d.</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tipo de equipos (Led, VSAP, suburbana, etcétera),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e.</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capacidad instalada (potencia),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f.</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ubicación (calle y/o colonia y/o delegación).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g.</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fecha de inicio y término de obra,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h.</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georreferenciación de cada uno de los puntos de luz del nuevo alumbrado público,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i.</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La fecha de modificación de su nuevo consumo en el sistema de facturación del alumbrado público ante CFE.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j.</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tipo de contrato celebrado para la adquisición de los nuevos equipos (licitación en su modalidad abierta o restringida, o adjudicación directa)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k.</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Número y nombre de las empresas concursantes o convocadas.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l.</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Los criterios de selección utilizados por el comité de adquisiciones para elegir a la empresa contratada para realizar la modernización del sistema de alumbrado público. </w:t>
      </w:r>
    </w:p>
    <w:p w:rsidR="00E3615D" w:rsidRPr="00AA4D94" w:rsidRDefault="00E3615D" w:rsidP="0079008C">
      <w:pPr>
        <w:autoSpaceDE w:val="0"/>
        <w:autoSpaceDN w:val="0"/>
        <w:adjustRightInd w:val="0"/>
        <w:spacing w:before="120" w:after="120"/>
        <w:ind w:left="1843" w:right="709" w:hanging="283"/>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m.</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El acta de cabildo en el cual se fundamenta, justifica,</w:t>
      </w:r>
      <w:r w:rsidR="00096AB9" w:rsidRPr="00AA4D94">
        <w:rPr>
          <w:rFonts w:ascii="Palatino Linotype" w:eastAsiaTheme="minorEastAsia" w:hAnsi="Palatino Linotype" w:cs="Arial"/>
          <w:i/>
          <w:sz w:val="22"/>
          <w:szCs w:val="22"/>
        </w:rPr>
        <w:t xml:space="preserve"> expone y autoriza el proyecto.</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10.</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número de solicitudes ciudadanas formales realizadas al municipio para ampliar el sistema de alumbrado público mediante proyectos de electrificación durante los años 2013, 2014, 2015, 2016, 2017 y los meses que van de 2018.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11.</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número de solicitudes ciudadanas que fueron atendidas y concluidas para ampliar el sistema de alumbrado público durante los años 2013, 2014, 2015, 2016, 2017 y los meses que van del 2018. </w:t>
      </w:r>
    </w:p>
    <w:p w:rsidR="00E3615D" w:rsidRPr="00AA4D94" w:rsidRDefault="00E3615D" w:rsidP="0079008C">
      <w:pPr>
        <w:spacing w:before="120" w:after="120"/>
        <w:ind w:left="1134" w:right="709" w:hanging="425"/>
        <w:jc w:val="both"/>
        <w:rPr>
          <w:rFonts w:ascii="Palatino Linotype" w:eastAsiaTheme="minorEastAsia" w:hAnsi="Palatino Linotype" w:cs="Arial"/>
          <w:b/>
          <w:bCs/>
          <w:i/>
          <w:sz w:val="22"/>
          <w:szCs w:val="22"/>
        </w:rPr>
      </w:pPr>
      <w:r w:rsidRPr="00AA4D94">
        <w:rPr>
          <w:rFonts w:ascii="Palatino Linotype" w:eastAsiaTheme="minorEastAsia" w:hAnsi="Palatino Linotype" w:cs="Arial"/>
          <w:b/>
          <w:bCs/>
          <w:i/>
          <w:sz w:val="22"/>
          <w:szCs w:val="22"/>
        </w:rPr>
        <w:t>V.-</w:t>
      </w:r>
      <w:r w:rsidR="00FA47FA" w:rsidRPr="00AA4D94">
        <w:rPr>
          <w:rFonts w:ascii="Palatino Linotype" w:eastAsiaTheme="minorEastAsia" w:hAnsi="Palatino Linotype" w:cs="Arial"/>
          <w:b/>
          <w:bCs/>
          <w:i/>
          <w:sz w:val="22"/>
          <w:szCs w:val="22"/>
        </w:rPr>
        <w:t xml:space="preserve"> </w:t>
      </w:r>
      <w:r w:rsidRPr="00AA4D94">
        <w:rPr>
          <w:rFonts w:ascii="Palatino Linotype" w:eastAsiaTheme="minorEastAsia" w:hAnsi="Palatino Linotype" w:cs="Arial"/>
          <w:b/>
          <w:bCs/>
          <w:i/>
          <w:sz w:val="22"/>
          <w:szCs w:val="22"/>
        </w:rPr>
        <w:t>ADMINISTRACIÓN DEL SERVICIO DE ALUMBRADO PÚBLICO.</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1.</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Se solicita Copia del </w:t>
      </w:r>
      <w:r w:rsidRPr="00AA4D94">
        <w:rPr>
          <w:rFonts w:ascii="Palatino Linotype" w:eastAsiaTheme="minorEastAsia" w:hAnsi="Palatino Linotype" w:cs="Arial"/>
          <w:b/>
          <w:bCs/>
          <w:i/>
          <w:sz w:val="22"/>
          <w:szCs w:val="22"/>
        </w:rPr>
        <w:t xml:space="preserve">contrato de prestación de servicios </w:t>
      </w:r>
      <w:r w:rsidRPr="00AA4D94">
        <w:rPr>
          <w:rFonts w:ascii="Palatino Linotype" w:eastAsiaTheme="minorEastAsia" w:hAnsi="Palatino Linotype" w:cs="Arial"/>
          <w:i/>
          <w:sz w:val="22"/>
          <w:szCs w:val="22"/>
        </w:rPr>
        <w:t xml:space="preserve">por concepto de </w:t>
      </w:r>
      <w:r w:rsidRPr="00AA4D94">
        <w:rPr>
          <w:rFonts w:ascii="Palatino Linotype" w:eastAsiaTheme="minorEastAsia" w:hAnsi="Palatino Linotype" w:cs="Arial"/>
          <w:i/>
          <w:iCs/>
          <w:sz w:val="22"/>
          <w:szCs w:val="22"/>
        </w:rPr>
        <w:t>suministro</w:t>
      </w:r>
      <w:r w:rsidRPr="00AA4D94">
        <w:rPr>
          <w:rFonts w:ascii="Palatino Linotype" w:eastAsiaTheme="minorEastAsia" w:hAnsi="Palatino Linotype" w:cs="Arial"/>
          <w:i/>
          <w:sz w:val="22"/>
          <w:szCs w:val="22"/>
        </w:rPr>
        <w:t xml:space="preserve"> de energía eléctrica por parte de la </w:t>
      </w:r>
      <w:r w:rsidRPr="00AA4D94">
        <w:rPr>
          <w:rFonts w:ascii="Palatino Linotype" w:eastAsiaTheme="minorEastAsia" w:hAnsi="Palatino Linotype" w:cs="Arial"/>
          <w:b/>
          <w:bCs/>
          <w:i/>
          <w:sz w:val="22"/>
          <w:szCs w:val="22"/>
        </w:rPr>
        <w:t xml:space="preserve">CFE al municipio </w:t>
      </w:r>
      <w:r w:rsidRPr="00AA4D94">
        <w:rPr>
          <w:rFonts w:ascii="Palatino Linotype" w:eastAsiaTheme="minorEastAsia" w:hAnsi="Palatino Linotype" w:cs="Arial"/>
          <w:i/>
          <w:sz w:val="22"/>
          <w:szCs w:val="22"/>
        </w:rPr>
        <w:t xml:space="preserve">(ayuntamiento).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2.</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Se </w:t>
      </w:r>
      <w:r w:rsidRPr="00AA4D94">
        <w:rPr>
          <w:rFonts w:ascii="Palatino Linotype" w:eastAsiaTheme="minorEastAsia" w:hAnsi="Palatino Linotype" w:cs="Arial"/>
          <w:i/>
          <w:iCs/>
          <w:sz w:val="22"/>
          <w:szCs w:val="22"/>
        </w:rPr>
        <w:t>solicita</w:t>
      </w:r>
      <w:r w:rsidRPr="00AA4D94">
        <w:rPr>
          <w:rFonts w:ascii="Palatino Linotype" w:eastAsiaTheme="minorEastAsia" w:hAnsi="Palatino Linotype" w:cs="Arial"/>
          <w:i/>
          <w:sz w:val="22"/>
          <w:szCs w:val="22"/>
        </w:rPr>
        <w:t xml:space="preserve"> Copia del </w:t>
      </w:r>
      <w:r w:rsidRPr="00AA4D94">
        <w:rPr>
          <w:rFonts w:ascii="Palatino Linotype" w:eastAsiaTheme="minorEastAsia" w:hAnsi="Palatino Linotype" w:cs="Arial"/>
          <w:b/>
          <w:bCs/>
          <w:i/>
          <w:sz w:val="22"/>
          <w:szCs w:val="22"/>
        </w:rPr>
        <w:t xml:space="preserve">convenio de “Peso por Peso” firmado entre la CFE y el municipio </w:t>
      </w:r>
      <w:r w:rsidRPr="00AA4D94">
        <w:rPr>
          <w:rFonts w:ascii="Palatino Linotype" w:eastAsiaTheme="minorEastAsia" w:hAnsi="Palatino Linotype" w:cs="Arial"/>
          <w:i/>
          <w:sz w:val="22"/>
          <w:szCs w:val="22"/>
        </w:rPr>
        <w:t xml:space="preserve">(ayuntamiento).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3.</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Se </w:t>
      </w:r>
      <w:r w:rsidRPr="00AA4D94">
        <w:rPr>
          <w:rFonts w:ascii="Palatino Linotype" w:eastAsiaTheme="minorEastAsia" w:hAnsi="Palatino Linotype" w:cs="Arial"/>
          <w:i/>
          <w:iCs/>
          <w:sz w:val="22"/>
          <w:szCs w:val="22"/>
        </w:rPr>
        <w:t>solicita</w:t>
      </w:r>
      <w:r w:rsidRPr="00AA4D94">
        <w:rPr>
          <w:rFonts w:ascii="Palatino Linotype" w:eastAsiaTheme="minorEastAsia" w:hAnsi="Palatino Linotype" w:cs="Arial"/>
          <w:i/>
          <w:sz w:val="22"/>
          <w:szCs w:val="22"/>
        </w:rPr>
        <w:t xml:space="preserve"> Copia del </w:t>
      </w:r>
      <w:r w:rsidRPr="00AA4D94">
        <w:rPr>
          <w:rFonts w:ascii="Palatino Linotype" w:eastAsiaTheme="minorEastAsia" w:hAnsi="Palatino Linotype" w:cs="Arial"/>
          <w:b/>
          <w:bCs/>
          <w:i/>
          <w:sz w:val="22"/>
          <w:szCs w:val="22"/>
        </w:rPr>
        <w:t xml:space="preserve">convenio para recaudar el Derecho de Alumbrado Público “DAP” </w:t>
      </w:r>
      <w:r w:rsidRPr="00AA4D94">
        <w:rPr>
          <w:rFonts w:ascii="Palatino Linotype" w:eastAsiaTheme="minorEastAsia" w:hAnsi="Palatino Linotype" w:cs="Arial"/>
          <w:i/>
          <w:sz w:val="22"/>
          <w:szCs w:val="22"/>
        </w:rPr>
        <w:t xml:space="preserve">firmado entre la CFE y el municipio (ayuntamiento). Así </w:t>
      </w:r>
      <w:r w:rsidRPr="00AA4D94">
        <w:rPr>
          <w:rFonts w:ascii="Palatino Linotype" w:eastAsiaTheme="minorEastAsia" w:hAnsi="Palatino Linotype" w:cs="Arial"/>
          <w:i/>
          <w:sz w:val="22"/>
          <w:szCs w:val="22"/>
        </w:rPr>
        <w:lastRenderedPageBreak/>
        <w:t xml:space="preserve">como la recaudación (monto) reportado por CFE al municipio de los años 2013, 2014, 2015, 2016, 2017 y los meses que van de 2018.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4.</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w:t>
      </w:r>
      <w:r w:rsidRPr="00AA4D94">
        <w:rPr>
          <w:rFonts w:ascii="Palatino Linotype" w:eastAsiaTheme="minorEastAsia" w:hAnsi="Palatino Linotype" w:cs="Arial"/>
          <w:i/>
          <w:iCs/>
          <w:sz w:val="22"/>
          <w:szCs w:val="22"/>
        </w:rPr>
        <w:t>listado</w:t>
      </w:r>
      <w:r w:rsidRPr="00AA4D94">
        <w:rPr>
          <w:rFonts w:ascii="Palatino Linotype" w:eastAsiaTheme="minorEastAsia" w:hAnsi="Palatino Linotype" w:cs="Arial"/>
          <w:i/>
          <w:sz w:val="22"/>
          <w:szCs w:val="22"/>
        </w:rPr>
        <w:t xml:space="preserve"> y/o número de juicios y controversias promovidos por particulares en contra del municipio por el cobro del Derecho de Alumbrado Público “DAP” durante los años 2013, 2014, 2015, 2016, 2017 y los meses que van de 2018.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5.</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 xml:space="preserve">El listado y/o número de juicios y controversias perdidos y ganados por el ayuntamiento (municipio) ante los particulares que reclaman el pago indebido del </w:t>
      </w:r>
      <w:r w:rsidRPr="00AA4D94">
        <w:rPr>
          <w:rFonts w:ascii="Palatino Linotype" w:eastAsiaTheme="minorEastAsia" w:hAnsi="Palatino Linotype" w:cs="Arial"/>
          <w:i/>
          <w:iCs/>
          <w:sz w:val="22"/>
          <w:szCs w:val="22"/>
        </w:rPr>
        <w:t>Derecho</w:t>
      </w:r>
      <w:r w:rsidRPr="00AA4D94">
        <w:rPr>
          <w:rFonts w:ascii="Palatino Linotype" w:eastAsiaTheme="minorEastAsia" w:hAnsi="Palatino Linotype" w:cs="Arial"/>
          <w:i/>
          <w:sz w:val="22"/>
          <w:szCs w:val="22"/>
        </w:rPr>
        <w:t xml:space="preserve"> de Alumbrado Público durante los años 2013, 2014, 2015, 2016, 2017 y los meses que van de 2018. </w:t>
      </w:r>
    </w:p>
    <w:p w:rsidR="00E3615D" w:rsidRPr="00AA4D94" w:rsidRDefault="00E3615D" w:rsidP="0079008C">
      <w:pPr>
        <w:autoSpaceDE w:val="0"/>
        <w:autoSpaceDN w:val="0"/>
        <w:adjustRightInd w:val="0"/>
        <w:spacing w:before="120" w:after="120"/>
        <w:ind w:left="1560" w:right="709" w:hanging="426"/>
        <w:jc w:val="both"/>
        <w:rPr>
          <w:rFonts w:ascii="Palatino Linotype" w:eastAsiaTheme="minorEastAsia" w:hAnsi="Palatino Linotype" w:cs="Arial"/>
          <w:i/>
          <w:color w:val="000000"/>
          <w:sz w:val="20"/>
          <w:szCs w:val="22"/>
        </w:rPr>
      </w:pPr>
      <w:r w:rsidRPr="00AA4D94">
        <w:rPr>
          <w:rFonts w:ascii="Palatino Linotype" w:eastAsiaTheme="minorEastAsia" w:hAnsi="Palatino Linotype" w:cs="Arial"/>
          <w:i/>
          <w:sz w:val="22"/>
          <w:szCs w:val="22"/>
        </w:rPr>
        <w:t>6.</w:t>
      </w:r>
      <w:r w:rsidR="00FA47FA" w:rsidRPr="00AA4D94">
        <w:rPr>
          <w:rFonts w:ascii="Palatino Linotype" w:eastAsiaTheme="minorEastAsia" w:hAnsi="Palatino Linotype" w:cs="Arial"/>
          <w:i/>
          <w:sz w:val="22"/>
          <w:szCs w:val="22"/>
        </w:rPr>
        <w:t xml:space="preserve"> </w:t>
      </w:r>
      <w:r w:rsidRPr="00AA4D94">
        <w:rPr>
          <w:rFonts w:ascii="Palatino Linotype" w:eastAsiaTheme="minorEastAsia" w:hAnsi="Palatino Linotype" w:cs="Arial"/>
          <w:i/>
          <w:sz w:val="22"/>
          <w:szCs w:val="22"/>
        </w:rPr>
        <w:t>Las normas y lineamientos que el municipio sigue para operar y proporcionar el servicio de alumbrado público municipal.</w:t>
      </w:r>
      <w:r w:rsidRPr="00AA4D94">
        <w:rPr>
          <w:rFonts w:ascii="Palatino Linotype" w:eastAsiaTheme="minorEastAsia" w:hAnsi="Palatino Linotype" w:cs="Arial"/>
          <w:i/>
          <w:color w:val="000000"/>
          <w:sz w:val="22"/>
          <w:szCs w:val="22"/>
        </w:rPr>
        <w:t xml:space="preserve">” </w:t>
      </w:r>
      <w:r w:rsidRPr="00AA4D94">
        <w:rPr>
          <w:rFonts w:ascii="Palatino Linotype" w:eastAsiaTheme="minorEastAsia" w:hAnsi="Palatino Linotype" w:cs="Arial"/>
          <w:color w:val="000000"/>
          <w:sz w:val="22"/>
          <w:szCs w:val="22"/>
        </w:rPr>
        <w:t>(Sic)</w:t>
      </w:r>
    </w:p>
    <w:p w:rsidR="00A30EBD" w:rsidRPr="00AA4D94" w:rsidRDefault="00F73EEF" w:rsidP="00F73EEF">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0" w:name="_Ref535335081"/>
      <w:bookmarkStart w:id="1" w:name="_Ref2073371"/>
      <w:r w:rsidRPr="00AA4D94">
        <w:rPr>
          <w:rFonts w:ascii="Palatino Linotype" w:hAnsi="Palatino Linotype"/>
        </w:rPr>
        <w:t>Por otra parte, c</w:t>
      </w:r>
      <w:r w:rsidR="00A30EBD" w:rsidRPr="00AA4D94">
        <w:rPr>
          <w:rFonts w:ascii="Palatino Linotype" w:hAnsi="Palatino Linotype"/>
        </w:rPr>
        <w:t xml:space="preserve">on </w:t>
      </w:r>
      <w:r w:rsidR="00A30EBD" w:rsidRPr="00AA4D94">
        <w:rPr>
          <w:rFonts w:ascii="Palatino Linotype" w:hAnsi="Palatino Linotype" w:cs="Arial"/>
        </w:rPr>
        <w:t>base</w:t>
      </w:r>
      <w:r w:rsidR="00A30EBD" w:rsidRPr="00AA4D94">
        <w:rPr>
          <w:rFonts w:ascii="Palatino Linotype" w:hAnsi="Palatino Linotype"/>
        </w:rPr>
        <w:t xml:space="preserve"> en el detalle de seguimiento que obra en </w:t>
      </w:r>
      <w:r w:rsidR="00A30EBD" w:rsidRPr="00AA4D94">
        <w:rPr>
          <w:rFonts w:ascii="Palatino Linotype" w:hAnsi="Palatino Linotype"/>
          <w:b/>
        </w:rPr>
        <w:t>EL SAIMEX</w:t>
      </w:r>
      <w:r w:rsidR="00A30EBD" w:rsidRPr="00AA4D94">
        <w:rPr>
          <w:rFonts w:ascii="Palatino Linotype" w:hAnsi="Palatino Linotype"/>
        </w:rPr>
        <w:t xml:space="preserve">, se advierte que </w:t>
      </w:r>
      <w:r w:rsidR="00A30EBD" w:rsidRPr="00AA4D94">
        <w:rPr>
          <w:rFonts w:ascii="Palatino Linotype" w:hAnsi="Palatino Linotype"/>
          <w:b/>
        </w:rPr>
        <w:t>EL SUJETO OBLIGADO</w:t>
      </w:r>
      <w:r w:rsidR="00A30EBD" w:rsidRPr="00AA4D94">
        <w:rPr>
          <w:rFonts w:ascii="Palatino Linotype" w:hAnsi="Palatino Linotype"/>
        </w:rPr>
        <w:t xml:space="preserve"> omitió dar contestación </w:t>
      </w:r>
      <w:bookmarkStart w:id="2" w:name="_Ref511238336"/>
      <w:r w:rsidR="00A30EBD" w:rsidRPr="00AA4D94">
        <w:rPr>
          <w:rFonts w:ascii="Palatino Linotype" w:hAnsi="Palatino Linotype"/>
        </w:rPr>
        <w:t xml:space="preserve">a la solicitud acceso a la información pública de número </w:t>
      </w:r>
      <w:r w:rsidR="004E6868" w:rsidRPr="00AA4D94">
        <w:rPr>
          <w:rFonts w:ascii="Palatino Linotype" w:hAnsi="Palatino Linotype"/>
          <w:b/>
          <w:bCs/>
        </w:rPr>
        <w:t>00028/DONAGUER/IP/2018</w:t>
      </w:r>
      <w:r w:rsidR="00A30EBD" w:rsidRPr="00AA4D94">
        <w:rPr>
          <w:rFonts w:ascii="Palatino Linotype" w:hAnsi="Palatino Linotype"/>
        </w:rPr>
        <w:t>, tal como se aprecia a continuación:</w:t>
      </w:r>
      <w:bookmarkEnd w:id="0"/>
      <w:bookmarkEnd w:id="1"/>
      <w:bookmarkEnd w:id="2"/>
    </w:p>
    <w:p w:rsidR="00A30EBD" w:rsidRPr="00AA4D94" w:rsidRDefault="00520D71" w:rsidP="00A30EBD">
      <w:pPr>
        <w:pStyle w:val="Prrafodelista"/>
        <w:widowControl w:val="0"/>
        <w:tabs>
          <w:tab w:val="left" w:pos="709"/>
        </w:tabs>
        <w:autoSpaceDE w:val="0"/>
        <w:autoSpaceDN w:val="0"/>
        <w:adjustRightInd w:val="0"/>
        <w:spacing w:before="120" w:after="120"/>
        <w:ind w:left="0"/>
        <w:jc w:val="center"/>
        <w:rPr>
          <w:rFonts w:ascii="Palatino Linotype" w:hAnsi="Palatino Linotype" w:cs="Arial"/>
        </w:rPr>
      </w:pPr>
      <w:r>
        <w:rPr>
          <w:noProof/>
          <w:lang w:eastAsia="es-MX"/>
        </w:rPr>
        <w:drawing>
          <wp:inline distT="0" distB="0" distL="0" distR="0" wp14:anchorId="71BA17FE" wp14:editId="20C2DAC7">
            <wp:extent cx="5791835" cy="27584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758440"/>
                    </a:xfrm>
                    <a:prstGeom prst="rect">
                      <a:avLst/>
                    </a:prstGeom>
                  </pic:spPr>
                </pic:pic>
              </a:graphicData>
            </a:graphic>
          </wp:inline>
        </w:drawing>
      </w:r>
      <w:bookmarkStart w:id="3" w:name="_GoBack"/>
      <w:bookmarkEnd w:id="3"/>
    </w:p>
    <w:p w:rsidR="00A30EBD" w:rsidRPr="00AA4D94" w:rsidRDefault="00A30EBD" w:rsidP="00EC7606">
      <w:pPr>
        <w:pStyle w:val="Prrafodelista"/>
        <w:numPr>
          <w:ilvl w:val="0"/>
          <w:numId w:val="6"/>
        </w:numPr>
        <w:tabs>
          <w:tab w:val="left" w:pos="567"/>
        </w:tabs>
        <w:spacing w:before="300" w:after="240" w:line="360" w:lineRule="auto"/>
        <w:ind w:left="0" w:firstLine="0"/>
        <w:jc w:val="both"/>
        <w:rPr>
          <w:rFonts w:ascii="Palatino Linotype" w:hAnsi="Palatino Linotype" w:cs="Arial"/>
        </w:rPr>
      </w:pPr>
      <w:bookmarkStart w:id="4" w:name="_Ref507070922"/>
      <w:r w:rsidRPr="00AA4D94">
        <w:rPr>
          <w:rFonts w:ascii="Palatino Linotype" w:hAnsi="Palatino Linotype"/>
        </w:rPr>
        <w:t xml:space="preserve">Inconforme con la omisión del </w:t>
      </w:r>
      <w:r w:rsidRPr="00AA4D94">
        <w:rPr>
          <w:rFonts w:ascii="Palatino Linotype" w:hAnsi="Palatino Linotype"/>
          <w:b/>
        </w:rPr>
        <w:t>SUJETO OBLIGADO</w:t>
      </w:r>
      <w:r w:rsidRPr="00AA4D94">
        <w:rPr>
          <w:rFonts w:ascii="Palatino Linotype" w:hAnsi="Palatino Linotype"/>
        </w:rPr>
        <w:t xml:space="preserve"> para dar respuesta a la solicitud de acceso a la </w:t>
      </w:r>
      <w:r w:rsidRPr="00AA4D94">
        <w:rPr>
          <w:rFonts w:ascii="Palatino Linotype" w:hAnsi="Palatino Linotype" w:cs="Arial"/>
        </w:rPr>
        <w:t>información pública</w:t>
      </w:r>
      <w:r w:rsidRPr="00AA4D94">
        <w:rPr>
          <w:rFonts w:ascii="Palatino Linotype" w:hAnsi="Palatino Linotype"/>
        </w:rPr>
        <w:t xml:space="preserve">, en fecha </w:t>
      </w:r>
      <w:r w:rsidR="0079008C" w:rsidRPr="00AA4D94">
        <w:rPr>
          <w:rFonts w:ascii="Palatino Linotype" w:hAnsi="Palatino Linotype"/>
        </w:rPr>
        <w:t>trece</w:t>
      </w:r>
      <w:r w:rsidRPr="00AA4D94">
        <w:rPr>
          <w:rFonts w:ascii="Palatino Linotype" w:hAnsi="Palatino Linotype" w:cs="Arial"/>
        </w:rPr>
        <w:t xml:space="preserve"> </w:t>
      </w:r>
      <w:r w:rsidRPr="00AA4D94">
        <w:rPr>
          <w:rFonts w:ascii="Palatino Linotype" w:hAnsi="Palatino Linotype"/>
        </w:rPr>
        <w:t xml:space="preserve">de </w:t>
      </w:r>
      <w:r w:rsidR="000545BF" w:rsidRPr="00AA4D94">
        <w:rPr>
          <w:rFonts w:ascii="Palatino Linotype" w:hAnsi="Palatino Linotype"/>
        </w:rPr>
        <w:t>dic</w:t>
      </w:r>
      <w:r w:rsidR="00834EF0" w:rsidRPr="00AA4D94">
        <w:rPr>
          <w:rFonts w:ascii="Palatino Linotype" w:hAnsi="Palatino Linotype"/>
        </w:rPr>
        <w:t>iembre</w:t>
      </w:r>
      <w:r w:rsidRPr="00AA4D94">
        <w:rPr>
          <w:rFonts w:ascii="Palatino Linotype" w:hAnsi="Palatino Linotype"/>
        </w:rPr>
        <w:t xml:space="preserve"> de dos mil </w:t>
      </w:r>
      <w:r w:rsidRPr="00AA4D94">
        <w:rPr>
          <w:rFonts w:ascii="Palatino Linotype" w:hAnsi="Palatino Linotype"/>
        </w:rPr>
        <w:lastRenderedPageBreak/>
        <w:t xml:space="preserve">dieciocho, </w:t>
      </w:r>
      <w:r w:rsidR="00404B4E" w:rsidRPr="00AA4D94">
        <w:rPr>
          <w:rFonts w:ascii="Palatino Linotype" w:hAnsi="Palatino Linotype" w:cs="Arial"/>
          <w:b/>
        </w:rPr>
        <w:t>LA RECURRENTE</w:t>
      </w:r>
      <w:r w:rsidRPr="00AA4D94">
        <w:rPr>
          <w:rFonts w:ascii="Palatino Linotype" w:hAnsi="Palatino Linotype"/>
        </w:rPr>
        <w:t>, a través del</w:t>
      </w:r>
      <w:r w:rsidRPr="00AA4D94">
        <w:rPr>
          <w:rFonts w:ascii="Palatino Linotype" w:hAnsi="Palatino Linotype"/>
          <w:b/>
        </w:rPr>
        <w:t xml:space="preserve"> SAIMEX, </w:t>
      </w:r>
      <w:r w:rsidRPr="00AA4D94">
        <w:rPr>
          <w:rFonts w:ascii="Palatino Linotype" w:hAnsi="Palatino Linotype"/>
        </w:rPr>
        <w:t xml:space="preserve">interpuso el recurso de revisión objeto del </w:t>
      </w:r>
      <w:r w:rsidRPr="00AA4D94">
        <w:rPr>
          <w:rFonts w:ascii="Palatino Linotype" w:hAnsi="Palatino Linotype" w:cs="Arial"/>
        </w:rPr>
        <w:t>presente</w:t>
      </w:r>
      <w:r w:rsidRPr="00AA4D94">
        <w:rPr>
          <w:rFonts w:ascii="Palatino Linotype" w:hAnsi="Palatino Linotype"/>
        </w:rPr>
        <w:t xml:space="preserve"> estudio, al que se le asignó el </w:t>
      </w:r>
      <w:r w:rsidRPr="00AA4D94">
        <w:rPr>
          <w:rFonts w:ascii="Palatino Linotype" w:hAnsi="Palatino Linotype" w:cs="Arial"/>
        </w:rPr>
        <w:t xml:space="preserve">número </w:t>
      </w:r>
      <w:r w:rsidR="004E6868" w:rsidRPr="00AA4D94">
        <w:rPr>
          <w:rFonts w:ascii="Palatino Linotype" w:hAnsi="Palatino Linotype"/>
          <w:b/>
        </w:rPr>
        <w:t>04782/INFOEM/IP/RR/2018</w:t>
      </w:r>
      <w:r w:rsidRPr="00AA4D94">
        <w:rPr>
          <w:rFonts w:ascii="Palatino Linotype" w:hAnsi="Palatino Linotype" w:cs="Arial"/>
        </w:rPr>
        <w:t>, en el que señaló como acto impugnado, lo siguiente:</w:t>
      </w:r>
      <w:bookmarkEnd w:id="4"/>
    </w:p>
    <w:p w:rsidR="00A30EBD" w:rsidRPr="00AA4D94" w:rsidRDefault="00A30EBD" w:rsidP="00A30EBD">
      <w:pPr>
        <w:spacing w:after="240"/>
        <w:ind w:left="709" w:right="709"/>
        <w:jc w:val="both"/>
        <w:rPr>
          <w:rFonts w:ascii="Palatino Linotype" w:hAnsi="Palatino Linotype" w:cs="Arial"/>
          <w:sz w:val="22"/>
          <w:szCs w:val="22"/>
          <w:lang w:eastAsia="es-MX"/>
        </w:rPr>
      </w:pPr>
      <w:r w:rsidRPr="00AA4D94">
        <w:rPr>
          <w:rFonts w:ascii="Palatino Linotype" w:hAnsi="Palatino Linotype" w:cs="Arial"/>
          <w:i/>
          <w:sz w:val="22"/>
          <w:szCs w:val="22"/>
          <w:lang w:eastAsia="es-MX"/>
        </w:rPr>
        <w:t>“</w:t>
      </w:r>
      <w:r w:rsidR="0096389A" w:rsidRPr="00AA4D94">
        <w:rPr>
          <w:rFonts w:ascii="Palatino Linotype" w:hAnsi="Palatino Linotype" w:cs="Arial"/>
          <w:i/>
          <w:sz w:val="22"/>
          <w:szCs w:val="22"/>
          <w:lang w:eastAsia="es-MX"/>
        </w:rPr>
        <w:t>Falta de respuesta a la solicitud de información con número de folio solicitud 00028/DONAGUER/IP/2018 por parte del Municipio de Donato Guerra, con fundamento en el artículo 179 fracciones VII y XI de la Ley de Transparencia y Acceso a la Información Pública del Estado de México y Municipios</w:t>
      </w:r>
      <w:r w:rsidRPr="00AA4D94">
        <w:rPr>
          <w:rFonts w:ascii="Palatino Linotype" w:hAnsi="Palatino Linotype" w:cs="Arial"/>
          <w:i/>
          <w:sz w:val="22"/>
          <w:szCs w:val="22"/>
          <w:lang w:eastAsia="es-MX"/>
        </w:rPr>
        <w:t xml:space="preserve">” </w:t>
      </w:r>
      <w:r w:rsidRPr="00AA4D94">
        <w:rPr>
          <w:rFonts w:ascii="Palatino Linotype" w:hAnsi="Palatino Linotype" w:cs="Arial"/>
          <w:sz w:val="22"/>
          <w:szCs w:val="22"/>
          <w:lang w:eastAsia="es-MX"/>
        </w:rPr>
        <w:t>(Sic)</w:t>
      </w:r>
    </w:p>
    <w:p w:rsidR="00A30EBD" w:rsidRPr="00AA4D94" w:rsidRDefault="00A30EBD" w:rsidP="00867401">
      <w:pPr>
        <w:pStyle w:val="Prrafodelista"/>
        <w:spacing w:before="360" w:after="240" w:line="360" w:lineRule="auto"/>
        <w:ind w:left="0"/>
        <w:jc w:val="both"/>
        <w:rPr>
          <w:rFonts w:ascii="Palatino Linotype" w:hAnsi="Palatino Linotype"/>
        </w:rPr>
      </w:pPr>
      <w:r w:rsidRPr="00AA4D94">
        <w:rPr>
          <w:rFonts w:ascii="Palatino Linotype" w:hAnsi="Palatino Linotype" w:cs="Arial"/>
        </w:rPr>
        <w:t>Asimismo</w:t>
      </w:r>
      <w:r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cs="Arial"/>
          <w:b/>
        </w:rPr>
        <w:t xml:space="preserve"> </w:t>
      </w:r>
      <w:r w:rsidRPr="00AA4D94">
        <w:rPr>
          <w:rFonts w:ascii="Palatino Linotype" w:hAnsi="Palatino Linotype"/>
        </w:rPr>
        <w:t>indicó como razones o motivos de inconformidad:</w:t>
      </w:r>
    </w:p>
    <w:p w:rsidR="00A30EBD" w:rsidRPr="00AA4D94" w:rsidRDefault="00A30EBD" w:rsidP="00A30EBD">
      <w:pPr>
        <w:spacing w:after="240"/>
        <w:ind w:left="709" w:right="709"/>
        <w:jc w:val="both"/>
        <w:rPr>
          <w:rFonts w:ascii="Palatino Linotype" w:hAnsi="Palatino Linotype" w:cs="Arial"/>
          <w:sz w:val="22"/>
          <w:szCs w:val="22"/>
          <w:lang w:eastAsia="es-MX"/>
        </w:rPr>
      </w:pPr>
      <w:r w:rsidRPr="00AA4D94">
        <w:rPr>
          <w:rFonts w:ascii="Palatino Linotype" w:hAnsi="Palatino Linotype" w:cs="Arial"/>
          <w:i/>
          <w:sz w:val="22"/>
          <w:szCs w:val="22"/>
          <w:lang w:eastAsia="es-MX"/>
        </w:rPr>
        <w:t>“</w:t>
      </w:r>
      <w:r w:rsidR="0096389A" w:rsidRPr="00AA4D94">
        <w:rPr>
          <w:rFonts w:ascii="Palatino Linotype" w:hAnsi="Palatino Linotype" w:cs="Arial"/>
          <w:i/>
          <w:sz w:val="22"/>
          <w:szCs w:val="22"/>
        </w:rPr>
        <w:t>No respondió la solicitud de información</w:t>
      </w:r>
      <w:r w:rsidRPr="00AA4D94">
        <w:rPr>
          <w:rFonts w:ascii="Palatino Linotype" w:hAnsi="Palatino Linotype" w:cs="Arial"/>
          <w:i/>
          <w:sz w:val="22"/>
          <w:szCs w:val="22"/>
          <w:lang w:eastAsia="es-MX"/>
        </w:rPr>
        <w:t xml:space="preserve">” </w:t>
      </w:r>
      <w:r w:rsidRPr="00AA4D94">
        <w:rPr>
          <w:rFonts w:ascii="Palatino Linotype" w:hAnsi="Palatino Linotype" w:cs="Arial"/>
          <w:sz w:val="22"/>
          <w:szCs w:val="22"/>
          <w:lang w:eastAsia="es-MX"/>
        </w:rPr>
        <w:t>(Sic)</w:t>
      </w:r>
    </w:p>
    <w:p w:rsidR="00D73FD7" w:rsidRPr="00AA4D94" w:rsidRDefault="00D73FD7" w:rsidP="00867401">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AA4D94">
        <w:rPr>
          <w:rFonts w:ascii="Palatino Linotype" w:hAnsi="Palatino Linotype" w:cs="Arial"/>
        </w:rPr>
        <w:t>E</w:t>
      </w:r>
      <w:r w:rsidR="00150CF7" w:rsidRPr="00AA4D94">
        <w:rPr>
          <w:rFonts w:ascii="Palatino Linotype" w:hAnsi="Palatino Linotype" w:cs="Arial"/>
        </w:rPr>
        <w:t>n</w:t>
      </w:r>
      <w:r w:rsidR="00D730A4" w:rsidRPr="00AA4D94">
        <w:rPr>
          <w:rFonts w:ascii="Palatino Linotype" w:hAnsi="Palatino Linotype" w:cs="Arial"/>
        </w:rPr>
        <w:t xml:space="preserve"> </w:t>
      </w:r>
      <w:r w:rsidR="00150CF7" w:rsidRPr="00AA4D94">
        <w:rPr>
          <w:rFonts w:ascii="Palatino Linotype" w:hAnsi="Palatino Linotype" w:cs="Arial"/>
        </w:rPr>
        <w:t>fecha</w:t>
      </w:r>
      <w:r w:rsidR="00D730A4" w:rsidRPr="00AA4D94">
        <w:rPr>
          <w:rFonts w:ascii="Palatino Linotype" w:hAnsi="Palatino Linotype" w:cs="Arial"/>
        </w:rPr>
        <w:t xml:space="preserve"> </w:t>
      </w:r>
      <w:r w:rsidR="0096389A" w:rsidRPr="00AA4D94">
        <w:rPr>
          <w:rFonts w:ascii="Palatino Linotype" w:hAnsi="Palatino Linotype"/>
        </w:rPr>
        <w:t>trece</w:t>
      </w:r>
      <w:r w:rsidR="0096389A" w:rsidRPr="00AA4D94">
        <w:rPr>
          <w:rFonts w:ascii="Palatino Linotype" w:hAnsi="Palatino Linotype" w:cs="Arial"/>
        </w:rPr>
        <w:t xml:space="preserve"> </w:t>
      </w:r>
      <w:r w:rsidR="0096389A" w:rsidRPr="00AA4D94">
        <w:rPr>
          <w:rFonts w:ascii="Palatino Linotype" w:hAnsi="Palatino Linotype"/>
        </w:rPr>
        <w:t>de diciembre de dos mil dieciocho</w:t>
      </w:r>
      <w:r w:rsidRPr="00AA4D94">
        <w:rPr>
          <w:rFonts w:ascii="Palatino Linotype" w:hAnsi="Palatino Linotype"/>
        </w:rPr>
        <w:t>,</w:t>
      </w:r>
      <w:r w:rsidR="00D730A4" w:rsidRPr="00AA4D94">
        <w:rPr>
          <w:rFonts w:ascii="Palatino Linotype" w:hAnsi="Palatino Linotype"/>
        </w:rPr>
        <w:t xml:space="preserve"> </w:t>
      </w:r>
      <w:r w:rsidRPr="00AA4D94">
        <w:rPr>
          <w:rFonts w:ascii="Palatino Linotype" w:hAnsi="Palatino Linotype"/>
        </w:rPr>
        <w:t>el</w:t>
      </w:r>
      <w:r w:rsidR="00D730A4" w:rsidRPr="00AA4D94">
        <w:rPr>
          <w:rFonts w:ascii="Palatino Linotype" w:hAnsi="Palatino Linotype" w:cs="Arial"/>
        </w:rPr>
        <w:t xml:space="preserve"> </w:t>
      </w:r>
      <w:r w:rsidRPr="00AA4D94">
        <w:rPr>
          <w:rFonts w:ascii="Palatino Linotype" w:hAnsi="Palatino Linotype" w:cs="Arial"/>
          <w:lang w:val="es-ES_tradnl"/>
        </w:rPr>
        <w:t>recurso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que</w:t>
      </w:r>
      <w:r w:rsidR="00D730A4" w:rsidRPr="00AA4D94">
        <w:rPr>
          <w:rFonts w:ascii="Palatino Linotype" w:hAnsi="Palatino Linotype" w:cs="Arial"/>
        </w:rPr>
        <w:t xml:space="preserve"> </w:t>
      </w:r>
      <w:r w:rsidRPr="00AA4D94">
        <w:rPr>
          <w:rFonts w:ascii="Palatino Linotype" w:hAnsi="Palatino Linotype" w:cs="Arial"/>
        </w:rPr>
        <w:t>se</w:t>
      </w:r>
      <w:r w:rsidR="00D730A4" w:rsidRPr="00AA4D94">
        <w:rPr>
          <w:rFonts w:ascii="Palatino Linotype" w:hAnsi="Palatino Linotype" w:cs="Arial"/>
        </w:rPr>
        <w:t xml:space="preserve"> </w:t>
      </w:r>
      <w:r w:rsidRPr="00AA4D94">
        <w:rPr>
          <w:rFonts w:ascii="Palatino Linotype" w:hAnsi="Palatino Linotype" w:cs="Arial"/>
        </w:rPr>
        <w:t>trata</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se</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envió</w:t>
      </w:r>
      <w:r w:rsidR="00D730A4" w:rsidRPr="00AA4D94">
        <w:rPr>
          <w:rFonts w:ascii="Palatino Linotype" w:hAnsi="Palatino Linotype" w:cs="Arial"/>
          <w:lang w:val="es-ES_tradnl"/>
        </w:rPr>
        <w:t xml:space="preserve"> </w:t>
      </w:r>
      <w:r w:rsidRPr="00AA4D94">
        <w:rPr>
          <w:rFonts w:ascii="Palatino Linotype" w:hAnsi="Palatino Linotype"/>
        </w:rPr>
        <w:t>electrónicamente</w:t>
      </w:r>
      <w:r w:rsidR="00D730A4" w:rsidRPr="00AA4D94">
        <w:rPr>
          <w:rFonts w:ascii="Palatino Linotype" w:hAnsi="Palatino Linotype" w:cs="Arial"/>
          <w:lang w:val="es-ES_tradnl"/>
        </w:rPr>
        <w:t xml:space="preserve"> </w:t>
      </w:r>
      <w:r w:rsidRPr="00AA4D94">
        <w:rPr>
          <w:rFonts w:ascii="Palatino Linotype" w:hAnsi="Palatino Linotype" w:cs="Arial"/>
        </w:rPr>
        <w:t>al</w:t>
      </w:r>
      <w:r w:rsidR="00D730A4" w:rsidRPr="00AA4D94">
        <w:rPr>
          <w:rFonts w:ascii="Palatino Linotype" w:hAnsi="Palatino Linotype" w:cs="Arial"/>
          <w:lang w:val="es-ES_tradnl"/>
        </w:rPr>
        <w:t xml:space="preserve"> </w:t>
      </w:r>
      <w:r w:rsidRPr="00AA4D94">
        <w:rPr>
          <w:rFonts w:ascii="Palatino Linotype" w:hAnsi="Palatino Linotype"/>
        </w:rPr>
        <w:t>Instituto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w:t>
      </w:r>
      <w:r w:rsidR="00D730A4" w:rsidRPr="00AA4D94">
        <w:rPr>
          <w:rFonts w:ascii="Palatino Linotype" w:hAnsi="Palatino Linotype" w:cs="Arial"/>
          <w:lang w:val="es-ES_tradnl"/>
        </w:rPr>
        <w:t xml:space="preserve"> </w:t>
      </w:r>
      <w:r w:rsidRPr="00AA4D94">
        <w:rPr>
          <w:rFonts w:ascii="Palatino Linotype" w:eastAsia="Arial Unicode MS" w:hAnsi="Palatino Linotype" w:cs="Arial"/>
        </w:rPr>
        <w:t>Transparencia</w:t>
      </w:r>
      <w:r w:rsidRPr="00AA4D94">
        <w:rPr>
          <w:rFonts w:ascii="Palatino Linotype" w:hAnsi="Palatino Linotype" w:cs="Arial"/>
          <w:lang w:val="es-ES_tradnl"/>
        </w:rPr>
        <w:t>,</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Acceso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a</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la</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Información</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Pública</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y</w:t>
      </w:r>
      <w:r w:rsidR="00D730A4" w:rsidRPr="00AA4D94">
        <w:rPr>
          <w:rFonts w:ascii="Palatino Linotype" w:hAnsi="Palatino Linotype" w:cs="Arial"/>
          <w:lang w:val="es-ES_tradnl"/>
        </w:rPr>
        <w:t xml:space="preserve"> </w:t>
      </w:r>
      <w:r w:rsidRPr="00AA4D94">
        <w:rPr>
          <w:rFonts w:ascii="Palatino Linotype" w:hAnsi="Palatino Linotype" w:cs="Arial"/>
        </w:rPr>
        <w:t>Protección</w:t>
      </w:r>
      <w:r w:rsidR="00D730A4" w:rsidRPr="00AA4D94">
        <w:rPr>
          <w:rFonts w:ascii="Palatino Linotype" w:hAnsi="Palatino Linotype" w:cs="Arial"/>
          <w:lang w:val="es-ES_tradnl"/>
        </w:rPr>
        <w:t xml:space="preserve"> </w:t>
      </w:r>
      <w:r w:rsidRPr="00AA4D94">
        <w:rPr>
          <w:rFonts w:ascii="Palatino Linotype" w:hAnsi="Palatino Linotype" w:cs="Arial"/>
        </w:rPr>
        <w:t>de</w:t>
      </w:r>
      <w:r w:rsidR="00D730A4" w:rsidRPr="00AA4D94">
        <w:rPr>
          <w:rFonts w:ascii="Palatino Linotype" w:hAnsi="Palatino Linotype" w:cs="Arial"/>
          <w:lang w:val="es-ES_tradnl"/>
        </w:rPr>
        <w:t xml:space="preserve"> </w:t>
      </w:r>
      <w:r w:rsidRPr="00AA4D94">
        <w:rPr>
          <w:rFonts w:ascii="Palatino Linotype" w:hAnsi="Palatino Linotype"/>
        </w:rPr>
        <w:t>Datos</w:t>
      </w:r>
      <w:r w:rsidR="00D730A4" w:rsidRPr="00AA4D94">
        <w:rPr>
          <w:rFonts w:ascii="Palatino Linotype" w:hAnsi="Palatino Linotype" w:cs="Arial"/>
          <w:lang w:val="es-ES_tradnl"/>
        </w:rPr>
        <w:t xml:space="preserve"> </w:t>
      </w:r>
      <w:r w:rsidRPr="00AA4D94">
        <w:rPr>
          <w:rFonts w:ascii="Palatino Linotype" w:hAnsi="Palatino Linotype" w:cs="Arial"/>
        </w:rPr>
        <w:t>Personales</w:t>
      </w:r>
      <w:r w:rsidR="00D730A4" w:rsidRPr="00AA4D94">
        <w:rPr>
          <w:rFonts w:ascii="Palatino Linotype" w:hAnsi="Palatino Linotype" w:cs="Arial"/>
          <w:lang w:val="es-ES_tradnl"/>
        </w:rPr>
        <w:t xml:space="preserve"> </w:t>
      </w:r>
      <w:r w:rsidRPr="00AA4D94">
        <w:rPr>
          <w:rFonts w:ascii="Palatino Linotype" w:hAnsi="Palatino Linotype"/>
        </w:rPr>
        <w:t>del</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Estado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México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y</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Municipios</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y</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con</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fundamento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en</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el</w:t>
      </w:r>
      <w:r w:rsidR="00D730A4" w:rsidRPr="00AA4D94">
        <w:rPr>
          <w:rFonts w:ascii="Palatino Linotype" w:hAnsi="Palatino Linotype" w:cs="Arial"/>
          <w:lang w:val="es-ES_tradnl"/>
        </w:rPr>
        <w:t xml:space="preserve"> </w:t>
      </w:r>
      <w:r w:rsidRPr="00AA4D94">
        <w:rPr>
          <w:rFonts w:ascii="Palatino Linotype" w:hAnsi="Palatino Linotype" w:cs="Arial"/>
        </w:rPr>
        <w:t>artículo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185</w:t>
      </w:r>
      <w:r w:rsidR="00EA1249" w:rsidRPr="00AA4D94">
        <w:rPr>
          <w:rFonts w:ascii="Palatino Linotype" w:hAnsi="Palatino Linotype" w:cs="Arial"/>
          <w:lang w:val="es-ES_tradnl"/>
        </w:rPr>
        <w:t>,</w:t>
      </w:r>
      <w:r w:rsidR="00D730A4" w:rsidRPr="00AA4D94">
        <w:rPr>
          <w:rFonts w:ascii="Palatino Linotype" w:hAnsi="Palatino Linotype" w:cs="Arial"/>
          <w:lang w:val="es-ES_tradnl"/>
        </w:rPr>
        <w:t xml:space="preserve"> </w:t>
      </w:r>
      <w:r w:rsidRPr="00AA4D94">
        <w:rPr>
          <w:rFonts w:ascii="Palatino Linotype" w:hAnsi="Palatino Linotype"/>
        </w:rPr>
        <w:t>fracción</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I</w:t>
      </w:r>
      <w:r w:rsidR="00EA1249" w:rsidRPr="00AA4D94">
        <w:rPr>
          <w:rFonts w:ascii="Palatino Linotype" w:hAnsi="Palatino Linotype" w:cs="Arial"/>
          <w:lang w:val="es-ES_tradnl"/>
        </w:rPr>
        <w:t>,</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la</w:t>
      </w:r>
      <w:r w:rsidR="00D730A4" w:rsidRPr="00AA4D94">
        <w:rPr>
          <w:rFonts w:ascii="Palatino Linotype" w:hAnsi="Palatino Linotype" w:cs="Arial"/>
          <w:lang w:val="es-ES_tradnl"/>
        </w:rPr>
        <w:t xml:space="preserve"> </w:t>
      </w:r>
      <w:r w:rsidRPr="00AA4D94">
        <w:rPr>
          <w:rFonts w:ascii="Palatino Linotype" w:hAnsi="Palatino Linotype"/>
        </w:rPr>
        <w:t>Ley</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Transparencia</w:t>
      </w:r>
      <w:r w:rsidR="00D730A4" w:rsidRPr="00AA4D94">
        <w:rPr>
          <w:rFonts w:ascii="Palatino Linotype" w:hAnsi="Palatino Linotype"/>
        </w:rPr>
        <w:t xml:space="preserve"> </w:t>
      </w:r>
      <w:r w:rsidRPr="00AA4D94">
        <w:rPr>
          <w:rFonts w:ascii="Palatino Linotype" w:hAnsi="Palatino Linotype"/>
        </w:rPr>
        <w:t>y</w:t>
      </w:r>
      <w:r w:rsidR="00D730A4" w:rsidRPr="00AA4D94">
        <w:rPr>
          <w:rFonts w:ascii="Palatino Linotype" w:hAnsi="Palatino Linotype"/>
        </w:rPr>
        <w:t xml:space="preserve"> </w:t>
      </w:r>
      <w:r w:rsidRPr="00AA4D94">
        <w:rPr>
          <w:rFonts w:ascii="Palatino Linotype" w:hAnsi="Palatino Linotype"/>
        </w:rPr>
        <w:t>Acceso</w:t>
      </w:r>
      <w:r w:rsidR="00D730A4" w:rsidRPr="00AA4D94">
        <w:rPr>
          <w:rFonts w:ascii="Palatino Linotype" w:hAnsi="Palatino Linotype"/>
        </w:rPr>
        <w:t xml:space="preserve"> </w:t>
      </w:r>
      <w:r w:rsidRPr="00AA4D94">
        <w:rPr>
          <w:rFonts w:ascii="Palatino Linotype" w:hAnsi="Palatino Linotype"/>
        </w:rPr>
        <w:t>a</w:t>
      </w:r>
      <w:r w:rsidR="00D730A4" w:rsidRPr="00AA4D94">
        <w:rPr>
          <w:rFonts w:ascii="Palatino Linotype" w:hAnsi="Palatino Linotype"/>
        </w:rPr>
        <w:t xml:space="preserve"> </w:t>
      </w:r>
      <w:r w:rsidRPr="00AA4D94">
        <w:rPr>
          <w:rFonts w:ascii="Palatino Linotype" w:hAnsi="Palatino Linotype"/>
        </w:rPr>
        <w:t>la</w:t>
      </w:r>
      <w:r w:rsidR="00D730A4" w:rsidRPr="00AA4D94">
        <w:rPr>
          <w:rFonts w:ascii="Palatino Linotype" w:hAnsi="Palatino Linotype"/>
        </w:rPr>
        <w:t xml:space="preserve"> </w:t>
      </w:r>
      <w:r w:rsidRPr="00AA4D94">
        <w:rPr>
          <w:rFonts w:ascii="Palatino Linotype" w:hAnsi="Palatino Linotype"/>
        </w:rPr>
        <w:t>Información</w:t>
      </w:r>
      <w:r w:rsidR="00D730A4" w:rsidRPr="00AA4D94">
        <w:rPr>
          <w:rFonts w:ascii="Palatino Linotype" w:hAnsi="Palatino Linotype"/>
        </w:rPr>
        <w:t xml:space="preserve"> </w:t>
      </w:r>
      <w:r w:rsidRPr="00AA4D94">
        <w:rPr>
          <w:rFonts w:ascii="Palatino Linotype" w:hAnsi="Palatino Linotype"/>
        </w:rPr>
        <w:t>Pública</w:t>
      </w:r>
      <w:r w:rsidR="00D730A4" w:rsidRPr="00AA4D94">
        <w:rPr>
          <w:rFonts w:ascii="Palatino Linotype" w:hAnsi="Palatino Linotype"/>
        </w:rPr>
        <w:t xml:space="preserve"> </w:t>
      </w:r>
      <w:r w:rsidRPr="00AA4D94">
        <w:rPr>
          <w:rFonts w:ascii="Palatino Linotype" w:hAnsi="Palatino Linotype"/>
        </w:rPr>
        <w:t>del</w:t>
      </w:r>
      <w:r w:rsidR="00D730A4" w:rsidRPr="00AA4D94">
        <w:rPr>
          <w:rFonts w:ascii="Palatino Linotype" w:hAnsi="Palatino Linotype"/>
        </w:rPr>
        <w:t xml:space="preserve"> </w:t>
      </w:r>
      <w:r w:rsidRPr="00AA4D94">
        <w:rPr>
          <w:rFonts w:ascii="Palatino Linotype" w:hAnsi="Palatino Linotype"/>
        </w:rPr>
        <w:t>Estado</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México</w:t>
      </w:r>
      <w:r w:rsidR="00D730A4" w:rsidRPr="00AA4D94">
        <w:rPr>
          <w:rFonts w:ascii="Palatino Linotype" w:hAnsi="Palatino Linotype"/>
        </w:rPr>
        <w:t xml:space="preserve"> </w:t>
      </w:r>
      <w:r w:rsidRPr="00AA4D94">
        <w:rPr>
          <w:rFonts w:ascii="Palatino Linotype" w:hAnsi="Palatino Linotype"/>
        </w:rPr>
        <w:t>y</w:t>
      </w:r>
      <w:r w:rsidR="00D730A4" w:rsidRPr="00AA4D94">
        <w:rPr>
          <w:rFonts w:ascii="Palatino Linotype" w:hAnsi="Palatino Linotype"/>
        </w:rPr>
        <w:t xml:space="preserve"> </w:t>
      </w:r>
      <w:r w:rsidRPr="00AA4D94">
        <w:rPr>
          <w:rFonts w:ascii="Palatino Linotype" w:hAnsi="Palatino Linotype"/>
        </w:rPr>
        <w:t>Municipios</w:t>
      </w:r>
      <w:r w:rsidRPr="00AA4D94">
        <w:rPr>
          <w:rFonts w:ascii="Palatino Linotype" w:hAnsi="Palatino Linotype" w:cs="Arial"/>
          <w:lang w:val="es-ES_tradnl"/>
        </w:rPr>
        <w:t>,</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se</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turnó,</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a</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través</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del</w:t>
      </w:r>
      <w:r w:rsidR="00D730A4" w:rsidRPr="00AA4D94">
        <w:rPr>
          <w:rFonts w:ascii="Palatino Linotype" w:eastAsia="Arial Unicode MS" w:hAnsi="Palatino Linotype" w:cs="Arial"/>
          <w:lang w:val="es-ES_tradnl"/>
        </w:rPr>
        <w:t xml:space="preserve"> </w:t>
      </w:r>
      <w:r w:rsidRPr="00AA4D94">
        <w:rPr>
          <w:rFonts w:ascii="Palatino Linotype" w:eastAsia="Arial Unicode MS" w:hAnsi="Palatino Linotype" w:cs="Arial"/>
          <w:b/>
          <w:lang w:val="es-ES_tradnl"/>
        </w:rPr>
        <w:t>SAIMEX</w:t>
      </w:r>
      <w:r w:rsidRPr="00AA4D94">
        <w:rPr>
          <w:rFonts w:ascii="Palatino Linotype" w:hAnsi="Palatino Linotype"/>
        </w:rPr>
        <w:t>,</w:t>
      </w:r>
      <w:r w:rsidR="00D730A4" w:rsidRPr="00AA4D94">
        <w:rPr>
          <w:rFonts w:ascii="Palatino Linotype" w:hAnsi="Palatino Linotype"/>
        </w:rPr>
        <w:t xml:space="preserve"> </w:t>
      </w:r>
      <w:r w:rsidRPr="00AA4D94">
        <w:rPr>
          <w:rFonts w:ascii="Palatino Linotype" w:hAnsi="Palatino Linotype"/>
        </w:rPr>
        <w:t>a</w:t>
      </w:r>
      <w:r w:rsidR="00D730A4" w:rsidRPr="00AA4D94">
        <w:rPr>
          <w:rFonts w:ascii="Palatino Linotype" w:hAnsi="Palatino Linotype"/>
        </w:rPr>
        <w:t xml:space="preserve"> </w:t>
      </w:r>
      <w:r w:rsidRPr="00AA4D94">
        <w:rPr>
          <w:rFonts w:ascii="Palatino Linotype" w:hAnsi="Palatino Linotype"/>
        </w:rPr>
        <w:t>la</w:t>
      </w:r>
      <w:r w:rsidR="00D730A4" w:rsidRPr="00AA4D94">
        <w:rPr>
          <w:rFonts w:ascii="Palatino Linotype" w:hAnsi="Palatino Linotype"/>
        </w:rPr>
        <w:t xml:space="preserve"> </w:t>
      </w:r>
      <w:r w:rsidRPr="00AA4D94">
        <w:rPr>
          <w:rFonts w:ascii="Palatino Linotype" w:hAnsi="Palatino Linotype" w:cs="Arial"/>
          <w:lang w:val="es-ES_tradnl"/>
        </w:rPr>
        <w:t>Comisionada</w:t>
      </w:r>
      <w:r w:rsidR="00D730A4" w:rsidRPr="00AA4D94">
        <w:rPr>
          <w:rFonts w:ascii="Palatino Linotype" w:hAnsi="Palatino Linotype" w:cs="Arial"/>
          <w:lang w:val="es-ES_tradnl"/>
        </w:rPr>
        <w:t xml:space="preserve"> </w:t>
      </w:r>
      <w:r w:rsidRPr="00AA4D94">
        <w:rPr>
          <w:rFonts w:ascii="Palatino Linotype" w:hAnsi="Palatino Linotype" w:cs="Arial"/>
          <w:b/>
          <w:lang w:val="es-ES_tradnl"/>
        </w:rPr>
        <w:t>EVA</w:t>
      </w:r>
      <w:r w:rsidR="00D730A4" w:rsidRPr="00AA4D94">
        <w:rPr>
          <w:rFonts w:ascii="Palatino Linotype" w:hAnsi="Palatino Linotype" w:cs="Arial"/>
          <w:b/>
          <w:lang w:val="es-ES_tradnl"/>
        </w:rPr>
        <w:t xml:space="preserve"> </w:t>
      </w:r>
      <w:r w:rsidRPr="00AA4D94">
        <w:rPr>
          <w:rFonts w:ascii="Palatino Linotype" w:hAnsi="Palatino Linotype" w:cs="Arial"/>
          <w:b/>
          <w:lang w:val="es-ES_tradnl"/>
        </w:rPr>
        <w:t>ABAID</w:t>
      </w:r>
      <w:r w:rsidR="00D730A4" w:rsidRPr="00AA4D94">
        <w:rPr>
          <w:rFonts w:ascii="Palatino Linotype" w:hAnsi="Palatino Linotype" w:cs="Arial"/>
          <w:b/>
          <w:lang w:val="es-ES_tradnl"/>
        </w:rPr>
        <w:t xml:space="preserve"> </w:t>
      </w:r>
      <w:r w:rsidRPr="00AA4D94">
        <w:rPr>
          <w:rFonts w:ascii="Palatino Linotype" w:hAnsi="Palatino Linotype" w:cs="Arial"/>
          <w:b/>
          <w:lang w:val="es-ES_tradnl"/>
        </w:rPr>
        <w:t>YAPUR</w:t>
      </w:r>
      <w:r w:rsidRPr="00AA4D94">
        <w:rPr>
          <w:rFonts w:ascii="Palatino Linotype" w:hAnsi="Palatino Linotype" w:cs="Arial"/>
          <w:lang w:val="es-ES_tradnl"/>
        </w:rPr>
        <w:t>,</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a</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efecto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que</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decretara</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su</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admisión</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o</w:t>
      </w:r>
      <w:r w:rsidR="00D730A4" w:rsidRPr="00AA4D94">
        <w:rPr>
          <w:rFonts w:ascii="Palatino Linotype" w:hAnsi="Palatino Linotype" w:cs="Arial"/>
          <w:lang w:val="es-ES_tradnl"/>
        </w:rPr>
        <w:t xml:space="preserve"> </w:t>
      </w:r>
      <w:r w:rsidRPr="00AA4D94">
        <w:rPr>
          <w:rFonts w:ascii="Palatino Linotype" w:hAnsi="Palatino Linotype" w:cs="Arial"/>
          <w:lang w:val="es-ES_tradnl"/>
        </w:rPr>
        <w:t>desechamiento.</w:t>
      </w:r>
    </w:p>
    <w:p w:rsidR="001E38B1" w:rsidRPr="00AA4D94" w:rsidRDefault="00AB1847" w:rsidP="00132738">
      <w:pPr>
        <w:pStyle w:val="Prrafodelista"/>
        <w:numPr>
          <w:ilvl w:val="0"/>
          <w:numId w:val="6"/>
        </w:numPr>
        <w:tabs>
          <w:tab w:val="left" w:pos="567"/>
        </w:tabs>
        <w:spacing w:before="240" w:after="120" w:line="360" w:lineRule="auto"/>
        <w:ind w:left="0" w:firstLine="0"/>
        <w:jc w:val="both"/>
        <w:rPr>
          <w:rFonts w:ascii="Palatino Linotype" w:hAnsi="Palatino Linotype" w:cs="Arial"/>
        </w:rPr>
      </w:pPr>
      <w:r w:rsidRPr="00AA4D94">
        <w:rPr>
          <w:rFonts w:ascii="Palatino Linotype" w:hAnsi="Palatino Linotype" w:cs="Arial"/>
        </w:rPr>
        <w:t>E</w:t>
      </w:r>
      <w:r w:rsidR="004B3947" w:rsidRPr="00AA4D94">
        <w:rPr>
          <w:rFonts w:ascii="Palatino Linotype" w:hAnsi="Palatino Linotype" w:cs="Arial"/>
        </w:rPr>
        <w:t>n</w:t>
      </w:r>
      <w:r w:rsidR="00D730A4" w:rsidRPr="00AA4D94">
        <w:rPr>
          <w:rFonts w:ascii="Palatino Linotype" w:hAnsi="Palatino Linotype" w:cs="Arial"/>
        </w:rPr>
        <w:t xml:space="preserve"> </w:t>
      </w:r>
      <w:r w:rsidR="004B3947" w:rsidRPr="00AA4D94">
        <w:rPr>
          <w:rFonts w:ascii="Palatino Linotype" w:hAnsi="Palatino Linotype" w:cs="Arial"/>
        </w:rPr>
        <w:t>fecha</w:t>
      </w:r>
      <w:r w:rsidR="00D730A4" w:rsidRPr="00AA4D94">
        <w:rPr>
          <w:rFonts w:ascii="Palatino Linotype" w:hAnsi="Palatino Linotype" w:cs="Arial"/>
        </w:rPr>
        <w:t xml:space="preserve"> </w:t>
      </w:r>
      <w:r w:rsidR="0096389A" w:rsidRPr="00AA4D94">
        <w:rPr>
          <w:rFonts w:ascii="Palatino Linotype" w:hAnsi="Palatino Linotype"/>
        </w:rPr>
        <w:t>diecinueve</w:t>
      </w:r>
      <w:r w:rsidR="000545BF" w:rsidRPr="00AA4D94">
        <w:rPr>
          <w:rFonts w:ascii="Palatino Linotype" w:hAnsi="Palatino Linotype" w:cs="Arial"/>
        </w:rPr>
        <w:t xml:space="preserve"> </w:t>
      </w:r>
      <w:r w:rsidR="000545BF" w:rsidRPr="00AA4D94">
        <w:rPr>
          <w:rFonts w:ascii="Palatino Linotype" w:hAnsi="Palatino Linotype"/>
        </w:rPr>
        <w:t>de diciembre de dos mil dieciocho</w:t>
      </w:r>
      <w:r w:rsidRPr="00AA4D94">
        <w:rPr>
          <w:rFonts w:ascii="Palatino Linotype" w:hAnsi="Palatino Linotype" w:cs="Arial"/>
        </w:rPr>
        <w:t>,</w:t>
      </w:r>
      <w:r w:rsidR="00D730A4" w:rsidRPr="00AA4D94">
        <w:rPr>
          <w:rFonts w:ascii="Palatino Linotype" w:hAnsi="Palatino Linotype" w:cs="Arial"/>
        </w:rPr>
        <w:t xml:space="preserve"> </w:t>
      </w:r>
      <w:r w:rsidRPr="00AA4D94">
        <w:rPr>
          <w:rFonts w:ascii="Palatino Linotype" w:hAnsi="Palatino Linotype" w:cs="Arial"/>
        </w:rPr>
        <w:t>atento</w:t>
      </w:r>
      <w:r w:rsidR="00D730A4" w:rsidRPr="00AA4D94">
        <w:rPr>
          <w:rFonts w:ascii="Palatino Linotype" w:hAnsi="Palatino Linotype" w:cs="Arial"/>
        </w:rPr>
        <w:t xml:space="preserve"> </w:t>
      </w:r>
      <w:r w:rsidRPr="00AA4D94">
        <w:rPr>
          <w:rFonts w:ascii="Palatino Linotype" w:hAnsi="Palatino Linotype" w:cs="Arial"/>
        </w:rPr>
        <w:t>a</w:t>
      </w:r>
      <w:r w:rsidR="00D730A4" w:rsidRPr="00AA4D94">
        <w:rPr>
          <w:rFonts w:ascii="Palatino Linotype" w:hAnsi="Palatino Linotype" w:cs="Arial"/>
        </w:rPr>
        <w:t xml:space="preserve"> </w:t>
      </w:r>
      <w:r w:rsidRPr="00AA4D94">
        <w:rPr>
          <w:rFonts w:ascii="Palatino Linotype" w:hAnsi="Palatino Linotype" w:cs="Arial"/>
        </w:rPr>
        <w:t>lo</w:t>
      </w:r>
      <w:r w:rsidR="00D730A4" w:rsidRPr="00AA4D94">
        <w:rPr>
          <w:rFonts w:ascii="Palatino Linotype" w:hAnsi="Palatino Linotype" w:cs="Arial"/>
        </w:rPr>
        <w:t xml:space="preserve"> </w:t>
      </w:r>
      <w:r w:rsidRPr="00AA4D94">
        <w:rPr>
          <w:rFonts w:ascii="Palatino Linotype" w:hAnsi="Palatino Linotype" w:cs="Arial"/>
        </w:rPr>
        <w:t>dispuesto</w:t>
      </w:r>
      <w:r w:rsidR="00D730A4" w:rsidRPr="00AA4D94">
        <w:rPr>
          <w:rFonts w:ascii="Palatino Linotype" w:hAnsi="Palatino Linotype" w:cs="Arial"/>
        </w:rPr>
        <w:t xml:space="preserve"> </w:t>
      </w:r>
      <w:r w:rsidRPr="00AA4D94">
        <w:rPr>
          <w:rFonts w:ascii="Palatino Linotype" w:hAnsi="Palatino Linotype" w:cs="Arial"/>
        </w:rPr>
        <w:t>en</w:t>
      </w:r>
      <w:r w:rsidR="00D730A4" w:rsidRPr="00AA4D94">
        <w:rPr>
          <w:rFonts w:ascii="Palatino Linotype" w:hAnsi="Palatino Linotype" w:cs="Arial"/>
        </w:rPr>
        <w:t xml:space="preserve"> </w:t>
      </w:r>
      <w:r w:rsidRPr="00AA4D94">
        <w:rPr>
          <w:rFonts w:ascii="Palatino Linotype" w:hAnsi="Palatino Linotype" w:cs="Arial"/>
        </w:rPr>
        <w:t>el</w:t>
      </w:r>
      <w:r w:rsidR="00D730A4" w:rsidRPr="00AA4D94">
        <w:rPr>
          <w:rFonts w:ascii="Palatino Linotype" w:hAnsi="Palatino Linotype" w:cs="Arial"/>
        </w:rPr>
        <w:t xml:space="preserve"> </w:t>
      </w:r>
      <w:r w:rsidRPr="00AA4D94">
        <w:rPr>
          <w:rFonts w:ascii="Palatino Linotype" w:hAnsi="Palatino Linotype" w:cs="Arial"/>
        </w:rPr>
        <w:t>artículo</w:t>
      </w:r>
      <w:r w:rsidR="00D730A4" w:rsidRPr="00AA4D94">
        <w:rPr>
          <w:rFonts w:ascii="Palatino Linotype" w:hAnsi="Palatino Linotype" w:cs="Arial"/>
        </w:rPr>
        <w:t xml:space="preserve"> </w:t>
      </w:r>
      <w:r w:rsidRPr="00AA4D94">
        <w:rPr>
          <w:rFonts w:ascii="Palatino Linotype" w:hAnsi="Palatino Linotype" w:cs="Arial"/>
        </w:rPr>
        <w:t>185</w:t>
      </w:r>
      <w:r w:rsidR="00EA1249" w:rsidRPr="00AA4D94">
        <w:rPr>
          <w:rFonts w:ascii="Palatino Linotype" w:hAnsi="Palatino Linotype" w:cs="Arial"/>
        </w:rPr>
        <w:t>,</w:t>
      </w:r>
      <w:r w:rsidR="00D730A4" w:rsidRPr="00AA4D94">
        <w:rPr>
          <w:rFonts w:ascii="Palatino Linotype" w:hAnsi="Palatino Linotype" w:cs="Arial"/>
        </w:rPr>
        <w:t xml:space="preserve"> </w:t>
      </w:r>
      <w:r w:rsidRPr="00AA4D94">
        <w:rPr>
          <w:rFonts w:ascii="Palatino Linotype" w:hAnsi="Palatino Linotype" w:cs="Arial"/>
        </w:rPr>
        <w:t>fracciones</w:t>
      </w:r>
      <w:r w:rsidR="00D730A4" w:rsidRPr="00AA4D94">
        <w:rPr>
          <w:rFonts w:ascii="Palatino Linotype" w:hAnsi="Palatino Linotype" w:cs="Arial"/>
        </w:rPr>
        <w:t xml:space="preserve"> </w:t>
      </w:r>
      <w:r w:rsidRPr="00AA4D94">
        <w:rPr>
          <w:rFonts w:ascii="Palatino Linotype" w:hAnsi="Palatino Linotype" w:cs="Arial"/>
        </w:rPr>
        <w:t>I,</w:t>
      </w:r>
      <w:r w:rsidR="00D730A4" w:rsidRPr="00AA4D94">
        <w:rPr>
          <w:rFonts w:ascii="Palatino Linotype" w:hAnsi="Palatino Linotype" w:cs="Arial"/>
        </w:rPr>
        <w:t xml:space="preserve"> </w:t>
      </w:r>
      <w:r w:rsidRPr="00AA4D94">
        <w:rPr>
          <w:rFonts w:ascii="Palatino Linotype" w:hAnsi="Palatino Linotype" w:cs="Arial"/>
        </w:rPr>
        <w:t>II</w:t>
      </w:r>
      <w:r w:rsidR="00D730A4" w:rsidRPr="00AA4D94">
        <w:rPr>
          <w:rFonts w:ascii="Palatino Linotype" w:hAnsi="Palatino Linotype" w:cs="Arial"/>
        </w:rPr>
        <w:t xml:space="preserve"> </w:t>
      </w:r>
      <w:r w:rsidRPr="00AA4D94">
        <w:rPr>
          <w:rFonts w:ascii="Palatino Linotype" w:hAnsi="Palatino Linotype" w:cs="Arial"/>
        </w:rPr>
        <w:t>y</w:t>
      </w:r>
      <w:r w:rsidR="00D730A4" w:rsidRPr="00AA4D94">
        <w:rPr>
          <w:rFonts w:ascii="Palatino Linotype" w:hAnsi="Palatino Linotype" w:cs="Arial"/>
        </w:rPr>
        <w:t xml:space="preserve"> </w:t>
      </w:r>
      <w:r w:rsidRPr="00AA4D94">
        <w:rPr>
          <w:rFonts w:ascii="Palatino Linotype" w:hAnsi="Palatino Linotype" w:cs="Arial"/>
        </w:rPr>
        <w:t>IV</w:t>
      </w:r>
      <w:r w:rsidR="00EA1249" w:rsidRPr="00AA4D94">
        <w:rPr>
          <w:rFonts w:ascii="Palatino Linotype" w:hAnsi="Palatino Linotype" w:cs="Arial"/>
        </w:rPr>
        <w:t>,</w:t>
      </w:r>
      <w:r w:rsidR="00D730A4" w:rsidRPr="00AA4D94">
        <w:rPr>
          <w:rFonts w:ascii="Palatino Linotype" w:hAnsi="Palatino Linotype" w:cs="Arial"/>
        </w:rPr>
        <w:t xml:space="preserve"> </w:t>
      </w:r>
      <w:r w:rsidRPr="00AA4D94">
        <w:rPr>
          <w:rFonts w:ascii="Palatino Linotype" w:hAnsi="Palatino Linotype" w:cs="Arial"/>
        </w:rPr>
        <w:t>de</w:t>
      </w:r>
      <w:r w:rsidR="00D730A4" w:rsidRPr="00AA4D94">
        <w:rPr>
          <w:rFonts w:ascii="Palatino Linotype" w:hAnsi="Palatino Linotype" w:cs="Arial"/>
        </w:rPr>
        <w:t xml:space="preserve"> </w:t>
      </w:r>
      <w:r w:rsidRPr="00AA4D94">
        <w:rPr>
          <w:rFonts w:ascii="Palatino Linotype" w:hAnsi="Palatino Linotype"/>
        </w:rPr>
        <w:t>la</w:t>
      </w:r>
      <w:r w:rsidR="00D730A4" w:rsidRPr="00AA4D94">
        <w:rPr>
          <w:rFonts w:ascii="Palatino Linotype" w:hAnsi="Palatino Linotype" w:cs="Arial"/>
        </w:rPr>
        <w:t xml:space="preserve"> </w:t>
      </w:r>
      <w:r w:rsidRPr="00AA4D94">
        <w:rPr>
          <w:rFonts w:ascii="Palatino Linotype" w:hAnsi="Palatino Linotype"/>
        </w:rPr>
        <w:t>Ley</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Transparencia</w:t>
      </w:r>
      <w:r w:rsidR="00D730A4" w:rsidRPr="00AA4D94">
        <w:rPr>
          <w:rFonts w:ascii="Palatino Linotype" w:hAnsi="Palatino Linotype"/>
        </w:rPr>
        <w:t xml:space="preserve"> </w:t>
      </w:r>
      <w:r w:rsidRPr="00AA4D94">
        <w:rPr>
          <w:rFonts w:ascii="Palatino Linotype" w:hAnsi="Palatino Linotype"/>
        </w:rPr>
        <w:t>y</w:t>
      </w:r>
      <w:r w:rsidR="00D730A4" w:rsidRPr="00AA4D94">
        <w:rPr>
          <w:rFonts w:ascii="Palatino Linotype" w:hAnsi="Palatino Linotype"/>
        </w:rPr>
        <w:t xml:space="preserve"> </w:t>
      </w:r>
      <w:r w:rsidRPr="00AA4D94">
        <w:rPr>
          <w:rFonts w:ascii="Palatino Linotype" w:hAnsi="Palatino Linotype"/>
        </w:rPr>
        <w:t>Acceso</w:t>
      </w:r>
      <w:r w:rsidR="00D730A4" w:rsidRPr="00AA4D94">
        <w:rPr>
          <w:rFonts w:ascii="Palatino Linotype" w:hAnsi="Palatino Linotype"/>
        </w:rPr>
        <w:t xml:space="preserve"> </w:t>
      </w:r>
      <w:r w:rsidRPr="00AA4D94">
        <w:rPr>
          <w:rFonts w:ascii="Palatino Linotype" w:hAnsi="Palatino Linotype"/>
        </w:rPr>
        <w:t>a</w:t>
      </w:r>
      <w:r w:rsidR="00D730A4" w:rsidRPr="00AA4D94">
        <w:rPr>
          <w:rFonts w:ascii="Palatino Linotype" w:hAnsi="Palatino Linotype"/>
        </w:rPr>
        <w:t xml:space="preserve"> </w:t>
      </w:r>
      <w:r w:rsidRPr="00AA4D94">
        <w:rPr>
          <w:rFonts w:ascii="Palatino Linotype" w:hAnsi="Palatino Linotype"/>
        </w:rPr>
        <w:t>la</w:t>
      </w:r>
      <w:r w:rsidR="00D730A4" w:rsidRPr="00AA4D94">
        <w:rPr>
          <w:rFonts w:ascii="Palatino Linotype" w:hAnsi="Palatino Linotype"/>
        </w:rPr>
        <w:t xml:space="preserve"> </w:t>
      </w:r>
      <w:r w:rsidRPr="00AA4D94">
        <w:rPr>
          <w:rFonts w:ascii="Palatino Linotype" w:hAnsi="Palatino Linotype"/>
        </w:rPr>
        <w:t>Información</w:t>
      </w:r>
      <w:r w:rsidR="00D730A4" w:rsidRPr="00AA4D94">
        <w:rPr>
          <w:rFonts w:ascii="Palatino Linotype" w:hAnsi="Palatino Linotype"/>
        </w:rPr>
        <w:t xml:space="preserve"> </w:t>
      </w:r>
      <w:r w:rsidRPr="00AA4D94">
        <w:rPr>
          <w:rFonts w:ascii="Palatino Linotype" w:hAnsi="Palatino Linotype"/>
        </w:rPr>
        <w:t>Pública</w:t>
      </w:r>
      <w:r w:rsidR="00D730A4" w:rsidRPr="00AA4D94">
        <w:rPr>
          <w:rFonts w:ascii="Palatino Linotype" w:hAnsi="Palatino Linotype"/>
        </w:rPr>
        <w:t xml:space="preserve"> </w:t>
      </w:r>
      <w:r w:rsidRPr="00AA4D94">
        <w:rPr>
          <w:rFonts w:ascii="Palatino Linotype" w:hAnsi="Palatino Linotype"/>
        </w:rPr>
        <w:t>del</w:t>
      </w:r>
      <w:r w:rsidR="00D730A4" w:rsidRPr="00AA4D94">
        <w:rPr>
          <w:rFonts w:ascii="Palatino Linotype" w:hAnsi="Palatino Linotype"/>
        </w:rPr>
        <w:t xml:space="preserve"> </w:t>
      </w:r>
      <w:r w:rsidRPr="00AA4D94">
        <w:rPr>
          <w:rFonts w:ascii="Palatino Linotype" w:hAnsi="Palatino Linotype"/>
        </w:rPr>
        <w:t>Estado</w:t>
      </w:r>
      <w:r w:rsidR="00D730A4" w:rsidRPr="00AA4D94">
        <w:rPr>
          <w:rFonts w:ascii="Palatino Linotype" w:hAnsi="Palatino Linotype"/>
        </w:rPr>
        <w:t xml:space="preserve"> </w:t>
      </w:r>
      <w:r w:rsidRPr="00AA4D94">
        <w:rPr>
          <w:rFonts w:ascii="Palatino Linotype" w:hAnsi="Palatino Linotype"/>
        </w:rPr>
        <w:t>de</w:t>
      </w:r>
      <w:r w:rsidR="00D730A4" w:rsidRPr="00AA4D94">
        <w:rPr>
          <w:rFonts w:ascii="Palatino Linotype" w:hAnsi="Palatino Linotype"/>
        </w:rPr>
        <w:t xml:space="preserve"> </w:t>
      </w:r>
      <w:r w:rsidRPr="00AA4D94">
        <w:rPr>
          <w:rFonts w:ascii="Palatino Linotype" w:hAnsi="Palatino Linotype"/>
        </w:rPr>
        <w:t>México</w:t>
      </w:r>
      <w:r w:rsidR="00D730A4" w:rsidRPr="00AA4D94">
        <w:rPr>
          <w:rFonts w:ascii="Palatino Linotype" w:hAnsi="Palatino Linotype"/>
        </w:rPr>
        <w:t xml:space="preserve"> </w:t>
      </w:r>
      <w:r w:rsidRPr="00AA4D94">
        <w:rPr>
          <w:rFonts w:ascii="Palatino Linotype" w:hAnsi="Palatino Linotype"/>
        </w:rPr>
        <w:t>y</w:t>
      </w:r>
      <w:r w:rsidR="00D730A4" w:rsidRPr="00AA4D94">
        <w:rPr>
          <w:rFonts w:ascii="Palatino Linotype" w:hAnsi="Palatino Linotype"/>
        </w:rPr>
        <w:t xml:space="preserve"> </w:t>
      </w:r>
      <w:r w:rsidRPr="00AA4D94">
        <w:rPr>
          <w:rFonts w:ascii="Palatino Linotype" w:hAnsi="Palatino Linotype" w:cs="Arial"/>
          <w:lang w:val="es-ES_tradnl"/>
        </w:rPr>
        <w:t>Municipios</w:t>
      </w:r>
      <w:r w:rsidRPr="00AA4D94">
        <w:rPr>
          <w:rFonts w:ascii="Palatino Linotype" w:hAnsi="Palatino Linotype"/>
        </w:rPr>
        <w:t>,</w:t>
      </w:r>
      <w:r w:rsidR="00D730A4" w:rsidRPr="00AA4D94">
        <w:rPr>
          <w:rFonts w:ascii="Palatino Linotype" w:hAnsi="Palatino Linotype"/>
        </w:rPr>
        <w:t xml:space="preserve"> </w:t>
      </w:r>
      <w:r w:rsidR="009012A7" w:rsidRPr="00AA4D94">
        <w:rPr>
          <w:rFonts w:ascii="Palatino Linotype" w:hAnsi="Palatino Linotype"/>
        </w:rPr>
        <w:t>se</w:t>
      </w:r>
      <w:r w:rsidR="00D730A4" w:rsidRPr="00AA4D94">
        <w:rPr>
          <w:rFonts w:ascii="Palatino Linotype" w:hAnsi="Palatino Linotype"/>
        </w:rPr>
        <w:t xml:space="preserve"> </w:t>
      </w:r>
      <w:r w:rsidRPr="00AA4D94">
        <w:rPr>
          <w:rFonts w:ascii="Palatino Linotype" w:hAnsi="Palatino Linotype"/>
        </w:rPr>
        <w:t>a</w:t>
      </w:r>
      <w:r w:rsidRPr="00AA4D94">
        <w:rPr>
          <w:rFonts w:ascii="Palatino Linotype" w:hAnsi="Palatino Linotype" w:cs="Arial"/>
        </w:rPr>
        <w:t>cordó</w:t>
      </w:r>
      <w:r w:rsidR="00D730A4" w:rsidRPr="00AA4D94">
        <w:rPr>
          <w:rFonts w:ascii="Palatino Linotype" w:hAnsi="Palatino Linotype" w:cs="Arial"/>
        </w:rPr>
        <w:t xml:space="preserve"> </w:t>
      </w:r>
      <w:r w:rsidRPr="00AA4D94">
        <w:rPr>
          <w:rFonts w:ascii="Palatino Linotype" w:hAnsi="Palatino Linotype" w:cs="Arial"/>
        </w:rPr>
        <w:t>la</w:t>
      </w:r>
      <w:r w:rsidR="00D730A4" w:rsidRPr="00AA4D94">
        <w:rPr>
          <w:rFonts w:ascii="Palatino Linotype" w:hAnsi="Palatino Linotype" w:cs="Arial"/>
        </w:rPr>
        <w:t xml:space="preserve"> </w:t>
      </w:r>
      <w:r w:rsidRPr="00AA4D94">
        <w:rPr>
          <w:rFonts w:ascii="Palatino Linotype" w:hAnsi="Palatino Linotype" w:cs="Arial"/>
        </w:rPr>
        <w:t>admisión</w:t>
      </w:r>
      <w:r w:rsidR="00D730A4" w:rsidRPr="00AA4D94">
        <w:rPr>
          <w:rFonts w:ascii="Palatino Linotype" w:hAnsi="Palatino Linotype" w:cs="Arial"/>
        </w:rPr>
        <w:t xml:space="preserve"> </w:t>
      </w:r>
      <w:r w:rsidRPr="00AA4D94">
        <w:rPr>
          <w:rFonts w:ascii="Palatino Linotype" w:hAnsi="Palatino Linotype" w:cs="Arial"/>
        </w:rPr>
        <w:t>a</w:t>
      </w:r>
      <w:r w:rsidR="00D730A4" w:rsidRPr="00AA4D94">
        <w:rPr>
          <w:rFonts w:ascii="Palatino Linotype" w:hAnsi="Palatino Linotype" w:cs="Arial"/>
        </w:rPr>
        <w:t xml:space="preserve"> </w:t>
      </w:r>
      <w:r w:rsidRPr="00AA4D94">
        <w:rPr>
          <w:rFonts w:ascii="Palatino Linotype" w:hAnsi="Palatino Linotype" w:cs="Arial"/>
        </w:rPr>
        <w:t>trámite</w:t>
      </w:r>
      <w:r w:rsidR="00D730A4" w:rsidRPr="00AA4D94">
        <w:rPr>
          <w:rFonts w:ascii="Palatino Linotype" w:hAnsi="Palatino Linotype" w:cs="Arial"/>
        </w:rPr>
        <w:t xml:space="preserve"> </w:t>
      </w:r>
      <w:r w:rsidRPr="00AA4D94">
        <w:rPr>
          <w:rFonts w:ascii="Palatino Linotype" w:hAnsi="Palatino Linotype" w:cs="Arial"/>
        </w:rPr>
        <w:t>de</w:t>
      </w:r>
      <w:r w:rsidR="00943778" w:rsidRPr="00AA4D94">
        <w:rPr>
          <w:rFonts w:ascii="Palatino Linotype" w:hAnsi="Palatino Linotype" w:cs="Arial"/>
        </w:rPr>
        <w:t>l</w:t>
      </w:r>
      <w:r w:rsidR="00D730A4" w:rsidRPr="00AA4D94">
        <w:rPr>
          <w:rFonts w:ascii="Palatino Linotype" w:hAnsi="Palatino Linotype" w:cs="Arial"/>
        </w:rPr>
        <w:t xml:space="preserve"> </w:t>
      </w:r>
      <w:r w:rsidRPr="00AA4D94">
        <w:rPr>
          <w:rFonts w:ascii="Palatino Linotype" w:hAnsi="Palatino Linotype" w:cs="Arial"/>
        </w:rPr>
        <w:t>referido</w:t>
      </w:r>
      <w:r w:rsidR="00D730A4" w:rsidRPr="00AA4D94">
        <w:rPr>
          <w:rFonts w:ascii="Palatino Linotype" w:hAnsi="Palatino Linotype" w:cs="Arial"/>
        </w:rPr>
        <w:t xml:space="preserve"> </w:t>
      </w:r>
      <w:r w:rsidRPr="00AA4D94">
        <w:rPr>
          <w:rFonts w:ascii="Palatino Linotype" w:hAnsi="Palatino Linotype" w:cs="Arial"/>
        </w:rPr>
        <w:t>recurso</w:t>
      </w:r>
      <w:r w:rsidR="00D730A4" w:rsidRPr="00AA4D94">
        <w:rPr>
          <w:rFonts w:ascii="Palatino Linotype" w:hAnsi="Palatino Linotype" w:cs="Arial"/>
        </w:rPr>
        <w:t xml:space="preserve"> </w:t>
      </w:r>
      <w:r w:rsidRPr="00AA4D94">
        <w:rPr>
          <w:rFonts w:ascii="Palatino Linotype" w:hAnsi="Palatino Linotype" w:cs="Arial"/>
        </w:rPr>
        <w:t>de</w:t>
      </w:r>
      <w:r w:rsidR="00D730A4" w:rsidRPr="00AA4D94">
        <w:rPr>
          <w:rFonts w:ascii="Palatino Linotype" w:hAnsi="Palatino Linotype" w:cs="Arial"/>
        </w:rPr>
        <w:t xml:space="preserve"> </w:t>
      </w:r>
      <w:r w:rsidRPr="00AA4D94">
        <w:rPr>
          <w:rFonts w:ascii="Palatino Linotype" w:hAnsi="Palatino Linotype" w:cs="Arial"/>
          <w:lang w:val="es-ES_tradnl"/>
        </w:rPr>
        <w:t>revisión</w:t>
      </w:r>
      <w:r w:rsidR="00404B4E" w:rsidRPr="00AA4D94">
        <w:rPr>
          <w:rFonts w:ascii="Palatino Linotype" w:hAnsi="Palatino Linotype" w:cs="Arial"/>
          <w:lang w:val="es-ES_tradnl"/>
        </w:rPr>
        <w:t xml:space="preserve">; </w:t>
      </w:r>
      <w:r w:rsidRPr="00AA4D94">
        <w:rPr>
          <w:rFonts w:ascii="Palatino Linotype" w:hAnsi="Palatino Linotype" w:cs="Arial"/>
        </w:rPr>
        <w:t>así</w:t>
      </w:r>
      <w:r w:rsidR="00D730A4" w:rsidRPr="00AA4D94">
        <w:rPr>
          <w:rFonts w:ascii="Palatino Linotype" w:hAnsi="Palatino Linotype" w:cs="Arial"/>
        </w:rPr>
        <w:t xml:space="preserve"> </w:t>
      </w:r>
      <w:r w:rsidRPr="00AA4D94">
        <w:rPr>
          <w:rFonts w:ascii="Palatino Linotype" w:hAnsi="Palatino Linotype" w:cs="Arial"/>
        </w:rPr>
        <w:t>como</w:t>
      </w:r>
      <w:r w:rsidR="00404B4E" w:rsidRPr="00AA4D94">
        <w:rPr>
          <w:rFonts w:ascii="Palatino Linotype" w:hAnsi="Palatino Linotype" w:cs="Arial"/>
        </w:rPr>
        <w:t>,</w:t>
      </w:r>
      <w:r w:rsidR="00D730A4" w:rsidRPr="00AA4D94">
        <w:rPr>
          <w:rFonts w:ascii="Palatino Linotype" w:hAnsi="Palatino Linotype" w:cs="Arial"/>
        </w:rPr>
        <w:t xml:space="preserve"> </w:t>
      </w:r>
      <w:r w:rsidRPr="00AA4D94">
        <w:rPr>
          <w:rFonts w:ascii="Palatino Linotype" w:hAnsi="Palatino Linotype" w:cs="Arial"/>
        </w:rPr>
        <w:t>la</w:t>
      </w:r>
      <w:r w:rsidR="00D730A4" w:rsidRPr="00AA4D94">
        <w:rPr>
          <w:rFonts w:ascii="Palatino Linotype" w:hAnsi="Palatino Linotype" w:cs="Arial"/>
        </w:rPr>
        <w:t xml:space="preserve"> </w:t>
      </w:r>
      <w:r w:rsidRPr="00AA4D94">
        <w:rPr>
          <w:rFonts w:ascii="Palatino Linotype" w:hAnsi="Palatino Linotype" w:cs="Arial"/>
        </w:rPr>
        <w:t>integración</w:t>
      </w:r>
      <w:r w:rsidR="00D730A4" w:rsidRPr="00AA4D94">
        <w:rPr>
          <w:rFonts w:ascii="Palatino Linotype" w:hAnsi="Palatino Linotype" w:cs="Arial"/>
        </w:rPr>
        <w:t xml:space="preserve"> </w:t>
      </w:r>
      <w:r w:rsidRPr="00AA4D94">
        <w:rPr>
          <w:rFonts w:ascii="Palatino Linotype" w:hAnsi="Palatino Linotype" w:cs="Arial"/>
        </w:rPr>
        <w:t>de</w:t>
      </w:r>
      <w:r w:rsidR="00943778" w:rsidRPr="00AA4D94">
        <w:rPr>
          <w:rFonts w:ascii="Palatino Linotype" w:hAnsi="Palatino Linotype" w:cs="Arial"/>
        </w:rPr>
        <w:t>l</w:t>
      </w:r>
      <w:r w:rsidR="00D730A4" w:rsidRPr="00AA4D94">
        <w:rPr>
          <w:rFonts w:ascii="Palatino Linotype" w:hAnsi="Palatino Linotype" w:cs="Arial"/>
        </w:rPr>
        <w:t xml:space="preserve"> </w:t>
      </w:r>
      <w:r w:rsidRPr="00AA4D94">
        <w:rPr>
          <w:rFonts w:ascii="Palatino Linotype" w:hAnsi="Palatino Linotype" w:cs="Arial"/>
        </w:rPr>
        <w:t>expediente</w:t>
      </w:r>
      <w:r w:rsidR="00D730A4" w:rsidRPr="00AA4D94">
        <w:rPr>
          <w:rFonts w:ascii="Palatino Linotype" w:hAnsi="Palatino Linotype" w:cs="Arial"/>
        </w:rPr>
        <w:t xml:space="preserve"> </w:t>
      </w:r>
      <w:r w:rsidRPr="00AA4D94">
        <w:rPr>
          <w:rFonts w:ascii="Palatino Linotype" w:hAnsi="Palatino Linotype" w:cs="Arial"/>
          <w:lang w:val="es-ES_tradnl"/>
        </w:rPr>
        <w:t>respectivo</w:t>
      </w:r>
      <w:r w:rsidRPr="00AA4D94">
        <w:rPr>
          <w:rFonts w:ascii="Palatino Linotype" w:hAnsi="Palatino Linotype" w:cs="Arial"/>
        </w:rPr>
        <w:t>,</w:t>
      </w:r>
      <w:r w:rsidR="00D730A4" w:rsidRPr="00AA4D94">
        <w:rPr>
          <w:rFonts w:ascii="Palatino Linotype" w:hAnsi="Palatino Linotype" w:cs="Arial"/>
        </w:rPr>
        <w:t xml:space="preserve"> </w:t>
      </w:r>
      <w:r w:rsidRPr="00AA4D94">
        <w:rPr>
          <w:rFonts w:ascii="Palatino Linotype" w:hAnsi="Palatino Linotype" w:cs="Arial"/>
        </w:rPr>
        <w:t>mismo</w:t>
      </w:r>
      <w:r w:rsidR="00D730A4" w:rsidRPr="00AA4D94">
        <w:rPr>
          <w:rFonts w:ascii="Palatino Linotype" w:hAnsi="Palatino Linotype" w:cs="Arial"/>
        </w:rPr>
        <w:t xml:space="preserve"> </w:t>
      </w:r>
      <w:r w:rsidRPr="00AA4D94">
        <w:rPr>
          <w:rFonts w:ascii="Palatino Linotype" w:hAnsi="Palatino Linotype" w:cs="Arial"/>
        </w:rPr>
        <w:t>que</w:t>
      </w:r>
      <w:r w:rsidR="00D730A4" w:rsidRPr="00AA4D94">
        <w:rPr>
          <w:rFonts w:ascii="Palatino Linotype" w:hAnsi="Palatino Linotype" w:cs="Arial"/>
        </w:rPr>
        <w:t xml:space="preserve"> </w:t>
      </w:r>
      <w:r w:rsidRPr="00AA4D94">
        <w:rPr>
          <w:rFonts w:ascii="Palatino Linotype" w:hAnsi="Palatino Linotype" w:cs="Arial"/>
        </w:rPr>
        <w:t>se</w:t>
      </w:r>
      <w:r w:rsidR="00D730A4" w:rsidRPr="00AA4D94">
        <w:rPr>
          <w:rFonts w:ascii="Palatino Linotype" w:hAnsi="Palatino Linotype" w:cs="Arial"/>
        </w:rPr>
        <w:t xml:space="preserve"> </w:t>
      </w:r>
      <w:r w:rsidRPr="00AA4D94">
        <w:rPr>
          <w:rFonts w:ascii="Palatino Linotype" w:hAnsi="Palatino Linotype" w:cs="Arial"/>
        </w:rPr>
        <w:t>pus</w:t>
      </w:r>
      <w:r w:rsidR="00943778" w:rsidRPr="00AA4D94">
        <w:rPr>
          <w:rFonts w:ascii="Palatino Linotype" w:hAnsi="Palatino Linotype" w:cs="Arial"/>
        </w:rPr>
        <w:t>o</w:t>
      </w:r>
      <w:r w:rsidR="00D730A4" w:rsidRPr="00AA4D94">
        <w:rPr>
          <w:rFonts w:ascii="Palatino Linotype" w:hAnsi="Palatino Linotype" w:cs="Arial"/>
        </w:rPr>
        <w:t xml:space="preserve"> </w:t>
      </w:r>
      <w:r w:rsidRPr="00AA4D94">
        <w:rPr>
          <w:rFonts w:ascii="Palatino Linotype" w:hAnsi="Palatino Linotype" w:cs="Arial"/>
        </w:rPr>
        <w:t>a</w:t>
      </w:r>
      <w:r w:rsidR="00D730A4" w:rsidRPr="00AA4D94">
        <w:rPr>
          <w:rFonts w:ascii="Palatino Linotype" w:hAnsi="Palatino Linotype" w:cs="Arial"/>
        </w:rPr>
        <w:t xml:space="preserve"> </w:t>
      </w:r>
      <w:r w:rsidRPr="00AA4D94">
        <w:rPr>
          <w:rFonts w:ascii="Palatino Linotype" w:hAnsi="Palatino Linotype" w:cs="Arial"/>
        </w:rPr>
        <w:t>disposición</w:t>
      </w:r>
      <w:r w:rsidR="00D730A4" w:rsidRPr="00AA4D94">
        <w:rPr>
          <w:rFonts w:ascii="Palatino Linotype" w:hAnsi="Palatino Linotype" w:cs="Arial"/>
        </w:rPr>
        <w:t xml:space="preserve"> </w:t>
      </w:r>
      <w:r w:rsidRPr="00AA4D94">
        <w:rPr>
          <w:rFonts w:ascii="Palatino Linotype" w:hAnsi="Palatino Linotype" w:cs="Arial"/>
        </w:rPr>
        <w:t>de</w:t>
      </w:r>
      <w:r w:rsidR="00D730A4" w:rsidRPr="00AA4D94">
        <w:rPr>
          <w:rFonts w:ascii="Palatino Linotype" w:hAnsi="Palatino Linotype" w:cs="Arial"/>
        </w:rPr>
        <w:t xml:space="preserve"> </w:t>
      </w:r>
      <w:r w:rsidRPr="00AA4D94">
        <w:rPr>
          <w:rFonts w:ascii="Palatino Linotype" w:hAnsi="Palatino Linotype" w:cs="Arial"/>
        </w:rPr>
        <w:t>las</w:t>
      </w:r>
      <w:r w:rsidR="00D730A4" w:rsidRPr="00AA4D94">
        <w:rPr>
          <w:rFonts w:ascii="Palatino Linotype" w:hAnsi="Palatino Linotype" w:cs="Arial"/>
        </w:rPr>
        <w:t xml:space="preserve"> </w:t>
      </w:r>
      <w:r w:rsidRPr="00AA4D94">
        <w:rPr>
          <w:rFonts w:ascii="Palatino Linotype" w:hAnsi="Palatino Linotype" w:cs="Arial"/>
        </w:rPr>
        <w:t>partes,</w:t>
      </w:r>
      <w:r w:rsidR="00D730A4" w:rsidRPr="00AA4D94">
        <w:rPr>
          <w:rFonts w:ascii="Palatino Linotype" w:hAnsi="Palatino Linotype" w:cs="Arial"/>
        </w:rPr>
        <w:t xml:space="preserve"> </w:t>
      </w:r>
      <w:r w:rsidRPr="00AA4D94">
        <w:rPr>
          <w:rFonts w:ascii="Palatino Linotype" w:hAnsi="Palatino Linotype" w:cs="Arial"/>
        </w:rPr>
        <w:t>para</w:t>
      </w:r>
      <w:r w:rsidR="00D730A4" w:rsidRPr="00AA4D94">
        <w:rPr>
          <w:rFonts w:ascii="Palatino Linotype" w:hAnsi="Palatino Linotype" w:cs="Arial"/>
        </w:rPr>
        <w:t xml:space="preserve"> </w:t>
      </w:r>
      <w:r w:rsidRPr="00AA4D94">
        <w:rPr>
          <w:rFonts w:ascii="Palatino Linotype" w:hAnsi="Palatino Linotype" w:cs="Arial"/>
        </w:rPr>
        <w:t>que</w:t>
      </w:r>
      <w:r w:rsidR="00D730A4" w:rsidRPr="00AA4D94">
        <w:rPr>
          <w:rFonts w:ascii="Palatino Linotype" w:hAnsi="Palatino Linotype" w:cs="Arial"/>
        </w:rPr>
        <w:t xml:space="preserve"> </w:t>
      </w:r>
      <w:r w:rsidRPr="00AA4D94">
        <w:rPr>
          <w:rFonts w:ascii="Palatino Linotype" w:hAnsi="Palatino Linotype" w:cs="Arial"/>
        </w:rPr>
        <w:t>en</w:t>
      </w:r>
      <w:r w:rsidR="00D730A4" w:rsidRPr="00AA4D94">
        <w:rPr>
          <w:rFonts w:ascii="Palatino Linotype" w:hAnsi="Palatino Linotype" w:cs="Arial"/>
        </w:rPr>
        <w:t xml:space="preserve"> </w:t>
      </w:r>
      <w:r w:rsidR="00E70A61" w:rsidRPr="00AA4D94">
        <w:rPr>
          <w:rFonts w:ascii="Palatino Linotype" w:hAnsi="Palatino Linotype" w:cs="Arial"/>
        </w:rPr>
        <w:t>el</w:t>
      </w:r>
      <w:r w:rsidR="00D730A4" w:rsidRPr="00AA4D94">
        <w:rPr>
          <w:rFonts w:ascii="Palatino Linotype" w:hAnsi="Palatino Linotype" w:cs="Arial"/>
        </w:rPr>
        <w:t xml:space="preserve"> </w:t>
      </w:r>
      <w:r w:rsidRPr="00AA4D94">
        <w:rPr>
          <w:rFonts w:ascii="Palatino Linotype" w:hAnsi="Palatino Linotype" w:cs="Arial"/>
        </w:rPr>
        <w:t>plazo</w:t>
      </w:r>
      <w:r w:rsidR="00D730A4" w:rsidRPr="00AA4D94">
        <w:rPr>
          <w:rFonts w:ascii="Palatino Linotype" w:hAnsi="Palatino Linotype" w:cs="Arial"/>
        </w:rPr>
        <w:t xml:space="preserve"> </w:t>
      </w:r>
      <w:r w:rsidRPr="00AA4D94">
        <w:rPr>
          <w:rFonts w:ascii="Palatino Linotype" w:hAnsi="Palatino Linotype" w:cs="Arial"/>
        </w:rPr>
        <w:t>máximo</w:t>
      </w:r>
      <w:r w:rsidR="00D730A4" w:rsidRPr="00AA4D94">
        <w:rPr>
          <w:rFonts w:ascii="Palatino Linotype" w:hAnsi="Palatino Linotype" w:cs="Arial"/>
        </w:rPr>
        <w:t xml:space="preserve"> </w:t>
      </w:r>
      <w:r w:rsidRPr="00AA4D94">
        <w:rPr>
          <w:rFonts w:ascii="Palatino Linotype" w:hAnsi="Palatino Linotype" w:cs="Arial"/>
        </w:rPr>
        <w:t>de</w:t>
      </w:r>
      <w:r w:rsidR="00D730A4" w:rsidRPr="00AA4D94">
        <w:rPr>
          <w:rFonts w:ascii="Palatino Linotype" w:hAnsi="Palatino Linotype" w:cs="Arial"/>
        </w:rPr>
        <w:t xml:space="preserve"> </w:t>
      </w:r>
      <w:r w:rsidRPr="00AA4D94">
        <w:rPr>
          <w:rFonts w:ascii="Palatino Linotype" w:hAnsi="Palatino Linotype" w:cs="Arial"/>
        </w:rPr>
        <w:t>siete</w:t>
      </w:r>
      <w:r w:rsidR="00D730A4" w:rsidRPr="00AA4D94">
        <w:rPr>
          <w:rFonts w:ascii="Palatino Linotype" w:hAnsi="Palatino Linotype" w:cs="Arial"/>
        </w:rPr>
        <w:t xml:space="preserve"> </w:t>
      </w:r>
      <w:r w:rsidRPr="00AA4D94">
        <w:rPr>
          <w:rFonts w:ascii="Palatino Linotype" w:hAnsi="Palatino Linotype" w:cs="Arial"/>
        </w:rPr>
        <w:t>días</w:t>
      </w:r>
      <w:r w:rsidR="00D730A4" w:rsidRPr="00AA4D94">
        <w:rPr>
          <w:rFonts w:ascii="Palatino Linotype" w:hAnsi="Palatino Linotype" w:cs="Arial"/>
        </w:rPr>
        <w:t xml:space="preserve"> </w:t>
      </w:r>
      <w:r w:rsidRPr="00AA4D94">
        <w:rPr>
          <w:rFonts w:ascii="Palatino Linotype" w:hAnsi="Palatino Linotype" w:cs="Arial"/>
        </w:rPr>
        <w:t>hábiles</w:t>
      </w:r>
      <w:r w:rsidR="0025472A" w:rsidRPr="00AA4D94">
        <w:rPr>
          <w:rFonts w:ascii="Palatino Linotype" w:hAnsi="Palatino Linotype" w:cs="Arial"/>
        </w:rPr>
        <w:t>,</w:t>
      </w:r>
      <w:r w:rsidR="00D730A4" w:rsidRPr="00AA4D94">
        <w:rPr>
          <w:rFonts w:ascii="Palatino Linotype" w:hAnsi="Palatino Linotype" w:cs="Arial"/>
        </w:rPr>
        <w:t xml:space="preserve"> </w:t>
      </w:r>
      <w:r w:rsidR="00404B4E" w:rsidRPr="00AA4D94">
        <w:rPr>
          <w:rFonts w:ascii="Palatino Linotype" w:hAnsi="Palatino Linotype" w:cs="Arial"/>
          <w:b/>
        </w:rPr>
        <w:t>LA RECURRENTE</w:t>
      </w:r>
      <w:r w:rsidR="00D730A4" w:rsidRPr="00AA4D94">
        <w:rPr>
          <w:rFonts w:ascii="Palatino Linotype" w:hAnsi="Palatino Linotype" w:cs="Arial"/>
        </w:rPr>
        <w:t xml:space="preserve"> </w:t>
      </w:r>
      <w:r w:rsidR="0025472A" w:rsidRPr="00AA4D94">
        <w:rPr>
          <w:rFonts w:ascii="Palatino Linotype" w:hAnsi="Palatino Linotype" w:cs="Arial"/>
        </w:rPr>
        <w:t>realizara</w:t>
      </w:r>
      <w:r w:rsidR="00D730A4" w:rsidRPr="00AA4D94">
        <w:rPr>
          <w:rFonts w:ascii="Palatino Linotype" w:hAnsi="Palatino Linotype" w:cs="Arial"/>
        </w:rPr>
        <w:t xml:space="preserve"> </w:t>
      </w:r>
      <w:r w:rsidRPr="00AA4D94">
        <w:rPr>
          <w:rFonts w:ascii="Palatino Linotype" w:hAnsi="Palatino Linotype" w:cs="Arial"/>
        </w:rPr>
        <w:t>manifestaciones</w:t>
      </w:r>
      <w:r w:rsidR="00AD2090" w:rsidRPr="00AA4D94">
        <w:rPr>
          <w:rFonts w:ascii="Palatino Linotype" w:hAnsi="Palatino Linotype" w:cs="Arial"/>
        </w:rPr>
        <w:t>,</w:t>
      </w:r>
      <w:r w:rsidR="00D730A4" w:rsidRPr="00AA4D94">
        <w:rPr>
          <w:rFonts w:ascii="Palatino Linotype" w:hAnsi="Palatino Linotype" w:cs="Arial"/>
        </w:rPr>
        <w:t xml:space="preserve"> </w:t>
      </w:r>
      <w:r w:rsidR="00E70A61" w:rsidRPr="00AA4D94">
        <w:rPr>
          <w:rFonts w:ascii="Palatino Linotype" w:hAnsi="Palatino Linotype" w:cs="Arial"/>
        </w:rPr>
        <w:t>alegatos</w:t>
      </w:r>
      <w:r w:rsidR="00D730A4" w:rsidRPr="00AA4D94">
        <w:rPr>
          <w:rFonts w:ascii="Palatino Linotype" w:hAnsi="Palatino Linotype" w:cs="Arial"/>
        </w:rPr>
        <w:t xml:space="preserve"> </w:t>
      </w:r>
      <w:r w:rsidR="00AD2090" w:rsidRPr="00AA4D94">
        <w:rPr>
          <w:rFonts w:ascii="Palatino Linotype" w:hAnsi="Palatino Linotype" w:cs="Arial"/>
        </w:rPr>
        <w:t>y</w:t>
      </w:r>
      <w:r w:rsidR="00D730A4" w:rsidRPr="00AA4D94">
        <w:rPr>
          <w:rFonts w:ascii="Palatino Linotype" w:hAnsi="Palatino Linotype" w:cs="Arial"/>
        </w:rPr>
        <w:t xml:space="preserve"> </w:t>
      </w:r>
      <w:r w:rsidR="004E5727" w:rsidRPr="00AA4D94">
        <w:rPr>
          <w:rFonts w:ascii="Palatino Linotype" w:hAnsi="Palatino Linotype" w:cs="Arial"/>
        </w:rPr>
        <w:t>ofrec</w:t>
      </w:r>
      <w:r w:rsidR="0025472A" w:rsidRPr="00AA4D94">
        <w:rPr>
          <w:rFonts w:ascii="Palatino Linotype" w:hAnsi="Palatino Linotype" w:cs="Arial"/>
        </w:rPr>
        <w:t>iera</w:t>
      </w:r>
      <w:r w:rsidR="00D730A4" w:rsidRPr="00AA4D94">
        <w:rPr>
          <w:rFonts w:ascii="Palatino Linotype" w:hAnsi="Palatino Linotype" w:cs="Arial"/>
        </w:rPr>
        <w:t xml:space="preserve"> </w:t>
      </w:r>
      <w:r w:rsidR="004E5727" w:rsidRPr="00AA4D94">
        <w:rPr>
          <w:rFonts w:ascii="Palatino Linotype" w:hAnsi="Palatino Linotype" w:cs="Arial"/>
        </w:rPr>
        <w:t>las</w:t>
      </w:r>
      <w:r w:rsidR="00D730A4" w:rsidRPr="00AA4D94">
        <w:rPr>
          <w:rFonts w:ascii="Palatino Linotype" w:hAnsi="Palatino Linotype" w:cs="Arial"/>
        </w:rPr>
        <w:t xml:space="preserve"> </w:t>
      </w:r>
      <w:r w:rsidR="004E5727" w:rsidRPr="00AA4D94">
        <w:rPr>
          <w:rFonts w:ascii="Palatino Linotype" w:hAnsi="Palatino Linotype" w:cs="Arial"/>
        </w:rPr>
        <w:t>pruebas</w:t>
      </w:r>
      <w:r w:rsidR="00D730A4" w:rsidRPr="00AA4D94">
        <w:rPr>
          <w:rFonts w:ascii="Palatino Linotype" w:hAnsi="Palatino Linotype" w:cs="Arial"/>
        </w:rPr>
        <w:t xml:space="preserve"> </w:t>
      </w:r>
      <w:r w:rsidR="00E70A61" w:rsidRPr="00AA4D94">
        <w:rPr>
          <w:rFonts w:ascii="Palatino Linotype" w:hAnsi="Palatino Linotype" w:cs="Arial"/>
        </w:rPr>
        <w:t>que</w:t>
      </w:r>
      <w:r w:rsidR="00D730A4" w:rsidRPr="00AA4D94">
        <w:rPr>
          <w:rFonts w:ascii="Palatino Linotype" w:hAnsi="Palatino Linotype" w:cs="Arial"/>
        </w:rPr>
        <w:t xml:space="preserve"> </w:t>
      </w:r>
      <w:r w:rsidR="00E70A61" w:rsidRPr="00AA4D94">
        <w:rPr>
          <w:rFonts w:ascii="Palatino Linotype" w:hAnsi="Palatino Linotype" w:cs="Arial"/>
        </w:rPr>
        <w:t>a</w:t>
      </w:r>
      <w:r w:rsidR="00D730A4" w:rsidRPr="00AA4D94">
        <w:rPr>
          <w:rFonts w:ascii="Palatino Linotype" w:hAnsi="Palatino Linotype" w:cs="Arial"/>
        </w:rPr>
        <w:t xml:space="preserve"> </w:t>
      </w:r>
      <w:r w:rsidR="00E70A61" w:rsidRPr="00AA4D94">
        <w:rPr>
          <w:rFonts w:ascii="Palatino Linotype" w:hAnsi="Palatino Linotype" w:cs="Arial"/>
        </w:rPr>
        <w:t>su</w:t>
      </w:r>
      <w:r w:rsidR="00D730A4" w:rsidRPr="00AA4D94">
        <w:rPr>
          <w:rFonts w:ascii="Palatino Linotype" w:hAnsi="Palatino Linotype" w:cs="Arial"/>
        </w:rPr>
        <w:t xml:space="preserve"> </w:t>
      </w:r>
      <w:r w:rsidR="00E70A61" w:rsidRPr="00AA4D94">
        <w:rPr>
          <w:rFonts w:ascii="Palatino Linotype" w:hAnsi="Palatino Linotype" w:cs="Arial"/>
        </w:rPr>
        <w:lastRenderedPageBreak/>
        <w:t>derecho</w:t>
      </w:r>
      <w:r w:rsidR="00D730A4" w:rsidRPr="00AA4D94">
        <w:rPr>
          <w:rFonts w:ascii="Palatino Linotype" w:hAnsi="Palatino Linotype" w:cs="Arial"/>
        </w:rPr>
        <w:t xml:space="preserve"> </w:t>
      </w:r>
      <w:r w:rsidR="00E70A61" w:rsidRPr="00AA4D94">
        <w:rPr>
          <w:rFonts w:ascii="Palatino Linotype" w:hAnsi="Palatino Linotype" w:cs="Arial"/>
          <w:lang w:val="es-ES_tradnl"/>
        </w:rPr>
        <w:t>conviniera</w:t>
      </w:r>
      <w:r w:rsidR="00D730A4" w:rsidRPr="00AA4D94">
        <w:rPr>
          <w:rFonts w:ascii="Palatino Linotype" w:hAnsi="Palatino Linotype" w:cs="Arial"/>
        </w:rPr>
        <w:t xml:space="preserve"> </w:t>
      </w:r>
      <w:r w:rsidR="0025472A" w:rsidRPr="00AA4D94">
        <w:rPr>
          <w:rFonts w:ascii="Palatino Linotype" w:hAnsi="Palatino Linotype" w:cs="Arial"/>
        </w:rPr>
        <w:t>y,</w:t>
      </w:r>
      <w:r w:rsidR="00D730A4" w:rsidRPr="00AA4D94">
        <w:rPr>
          <w:rFonts w:ascii="Palatino Linotype" w:hAnsi="Palatino Linotype" w:cs="Arial"/>
        </w:rPr>
        <w:t xml:space="preserve"> </w:t>
      </w:r>
      <w:r w:rsidR="0025472A" w:rsidRPr="00AA4D94">
        <w:rPr>
          <w:rFonts w:ascii="Palatino Linotype" w:hAnsi="Palatino Linotype" w:cs="Arial"/>
        </w:rPr>
        <w:t>en</w:t>
      </w:r>
      <w:r w:rsidR="00D730A4" w:rsidRPr="00AA4D94">
        <w:rPr>
          <w:rFonts w:ascii="Palatino Linotype" w:hAnsi="Palatino Linotype" w:cs="Arial"/>
        </w:rPr>
        <w:t xml:space="preserve"> </w:t>
      </w:r>
      <w:r w:rsidR="0025472A" w:rsidRPr="00AA4D94">
        <w:rPr>
          <w:rFonts w:ascii="Palatino Linotype" w:hAnsi="Palatino Linotype" w:cs="Arial"/>
        </w:rPr>
        <w:t>el</w:t>
      </w:r>
      <w:r w:rsidR="00D730A4" w:rsidRPr="00AA4D94">
        <w:rPr>
          <w:rFonts w:ascii="Palatino Linotype" w:hAnsi="Palatino Linotype" w:cs="Arial"/>
        </w:rPr>
        <w:t xml:space="preserve"> </w:t>
      </w:r>
      <w:r w:rsidR="0025472A" w:rsidRPr="00AA4D94">
        <w:rPr>
          <w:rFonts w:ascii="Palatino Linotype" w:hAnsi="Palatino Linotype" w:cs="Arial"/>
        </w:rPr>
        <w:t>caso</w:t>
      </w:r>
      <w:r w:rsidR="00D730A4" w:rsidRPr="00AA4D94">
        <w:rPr>
          <w:rFonts w:ascii="Palatino Linotype" w:hAnsi="Palatino Linotype" w:cs="Arial"/>
        </w:rPr>
        <w:t xml:space="preserve"> </w:t>
      </w:r>
      <w:r w:rsidR="0025472A" w:rsidRPr="00AA4D94">
        <w:rPr>
          <w:rFonts w:ascii="Palatino Linotype" w:hAnsi="Palatino Linotype" w:cs="Arial"/>
        </w:rPr>
        <w:t>del</w:t>
      </w:r>
      <w:r w:rsidR="00D730A4" w:rsidRPr="00AA4D94">
        <w:rPr>
          <w:rFonts w:ascii="Palatino Linotype" w:hAnsi="Palatino Linotype" w:cs="Arial"/>
          <w:b/>
        </w:rPr>
        <w:t xml:space="preserve"> </w:t>
      </w:r>
      <w:r w:rsidR="0025472A" w:rsidRPr="00AA4D94">
        <w:rPr>
          <w:rFonts w:ascii="Palatino Linotype" w:hAnsi="Palatino Linotype" w:cs="Arial"/>
          <w:b/>
        </w:rPr>
        <w:t>SUJETO</w:t>
      </w:r>
      <w:r w:rsidR="00D730A4" w:rsidRPr="00AA4D94">
        <w:rPr>
          <w:rFonts w:ascii="Palatino Linotype" w:hAnsi="Palatino Linotype" w:cs="Arial"/>
          <w:b/>
        </w:rPr>
        <w:t xml:space="preserve"> </w:t>
      </w:r>
      <w:r w:rsidR="0025472A" w:rsidRPr="00AA4D94">
        <w:rPr>
          <w:rFonts w:ascii="Palatino Linotype" w:hAnsi="Palatino Linotype" w:cs="Arial"/>
          <w:b/>
        </w:rPr>
        <w:t>OBLIGADO</w:t>
      </w:r>
      <w:r w:rsidR="00D73FD7" w:rsidRPr="00AA4D94">
        <w:rPr>
          <w:rFonts w:ascii="Palatino Linotype" w:hAnsi="Palatino Linotype" w:cs="Arial"/>
        </w:rPr>
        <w:t>,</w:t>
      </w:r>
      <w:r w:rsidR="00D730A4" w:rsidRPr="00AA4D94">
        <w:rPr>
          <w:rFonts w:ascii="Palatino Linotype" w:hAnsi="Palatino Linotype" w:cs="Arial"/>
        </w:rPr>
        <w:t xml:space="preserve"> </w:t>
      </w:r>
      <w:r w:rsidR="00D73FD7" w:rsidRPr="00AA4D94">
        <w:rPr>
          <w:rFonts w:ascii="Palatino Linotype" w:hAnsi="Palatino Linotype" w:cs="Arial"/>
        </w:rPr>
        <w:t>para</w:t>
      </w:r>
      <w:r w:rsidR="00D730A4" w:rsidRPr="00AA4D94">
        <w:rPr>
          <w:rFonts w:ascii="Palatino Linotype" w:hAnsi="Palatino Linotype" w:cs="Arial"/>
        </w:rPr>
        <w:t xml:space="preserve"> </w:t>
      </w:r>
      <w:r w:rsidR="00D73FD7" w:rsidRPr="00AA4D94">
        <w:rPr>
          <w:rFonts w:ascii="Palatino Linotype" w:hAnsi="Palatino Linotype" w:cs="Arial"/>
        </w:rPr>
        <w:t>que</w:t>
      </w:r>
      <w:r w:rsidR="00D730A4" w:rsidRPr="00AA4D94">
        <w:rPr>
          <w:rFonts w:ascii="Palatino Linotype" w:hAnsi="Palatino Linotype" w:cs="Arial"/>
        </w:rPr>
        <w:t xml:space="preserve"> </w:t>
      </w:r>
      <w:r w:rsidR="0025472A" w:rsidRPr="00AA4D94">
        <w:rPr>
          <w:rFonts w:ascii="Palatino Linotype" w:hAnsi="Palatino Linotype" w:cs="Arial"/>
        </w:rPr>
        <w:t>exhibiera</w:t>
      </w:r>
      <w:r w:rsidR="00D730A4" w:rsidRPr="00AA4D94">
        <w:rPr>
          <w:rFonts w:ascii="Palatino Linotype" w:hAnsi="Palatino Linotype" w:cs="Arial"/>
        </w:rPr>
        <w:t xml:space="preserve"> </w:t>
      </w:r>
      <w:r w:rsidR="001E38B1" w:rsidRPr="00AA4D94">
        <w:rPr>
          <w:rFonts w:ascii="Palatino Linotype" w:hAnsi="Palatino Linotype" w:cs="Arial"/>
        </w:rPr>
        <w:t>el</w:t>
      </w:r>
      <w:r w:rsidR="00D730A4" w:rsidRPr="00AA4D94">
        <w:rPr>
          <w:rFonts w:ascii="Palatino Linotype" w:hAnsi="Palatino Linotype" w:cs="Arial"/>
        </w:rPr>
        <w:t xml:space="preserve"> </w:t>
      </w:r>
      <w:r w:rsidR="001B2536" w:rsidRPr="00AA4D94">
        <w:rPr>
          <w:rFonts w:ascii="Palatino Linotype" w:hAnsi="Palatino Linotype" w:cs="Arial"/>
        </w:rPr>
        <w:t>Informe</w:t>
      </w:r>
      <w:r w:rsidR="00D730A4" w:rsidRPr="00AA4D94">
        <w:rPr>
          <w:rFonts w:ascii="Palatino Linotype" w:hAnsi="Palatino Linotype" w:cs="Arial"/>
        </w:rPr>
        <w:t xml:space="preserve"> </w:t>
      </w:r>
      <w:r w:rsidR="001B2536" w:rsidRPr="00AA4D94">
        <w:rPr>
          <w:rFonts w:ascii="Palatino Linotype" w:hAnsi="Palatino Linotype" w:cs="Arial"/>
        </w:rPr>
        <w:t>Justificado</w:t>
      </w:r>
      <w:r w:rsidR="00D730A4" w:rsidRPr="00AA4D94">
        <w:rPr>
          <w:rFonts w:ascii="Palatino Linotype" w:hAnsi="Palatino Linotype" w:cs="Arial"/>
        </w:rPr>
        <w:t xml:space="preserve"> </w:t>
      </w:r>
      <w:r w:rsidR="0015612E" w:rsidRPr="00AA4D94">
        <w:rPr>
          <w:rFonts w:ascii="Palatino Linotype" w:hAnsi="Palatino Linotype" w:cs="Arial"/>
        </w:rPr>
        <w:t>correspondiente</w:t>
      </w:r>
      <w:r w:rsidRPr="00AA4D94">
        <w:rPr>
          <w:rFonts w:ascii="Palatino Linotype" w:hAnsi="Palatino Linotype" w:cs="Arial"/>
        </w:rPr>
        <w:t>.</w:t>
      </w:r>
    </w:p>
    <w:p w:rsidR="000545BF" w:rsidRPr="00AA4D94" w:rsidRDefault="000545BF" w:rsidP="00132738">
      <w:pPr>
        <w:pStyle w:val="Prrafodelista"/>
        <w:numPr>
          <w:ilvl w:val="0"/>
          <w:numId w:val="6"/>
        </w:numPr>
        <w:tabs>
          <w:tab w:val="left" w:pos="567"/>
        </w:tabs>
        <w:spacing w:before="240" w:line="360" w:lineRule="auto"/>
        <w:ind w:left="0" w:firstLine="0"/>
        <w:jc w:val="both"/>
        <w:rPr>
          <w:rFonts w:ascii="Palatino Linotype" w:hAnsi="Palatino Linotype" w:cs="Arial"/>
        </w:rPr>
      </w:pPr>
      <w:r w:rsidRPr="00AA4D94">
        <w:rPr>
          <w:rFonts w:ascii="Palatino Linotype" w:hAnsi="Palatino Linotype" w:cs="Arial"/>
        </w:rPr>
        <w:t xml:space="preserve">De las </w:t>
      </w:r>
      <w:r w:rsidRPr="00AA4D94">
        <w:rPr>
          <w:rFonts w:ascii="Palatino Linotype" w:hAnsi="Palatino Linotype"/>
        </w:rPr>
        <w:t>constancias</w:t>
      </w:r>
      <w:r w:rsidRPr="00AA4D94">
        <w:rPr>
          <w:rFonts w:ascii="Palatino Linotype" w:hAnsi="Palatino Linotype" w:cs="Arial"/>
        </w:rPr>
        <w:t xml:space="preserve"> que obran en el </w:t>
      </w:r>
      <w:r w:rsidRPr="00AA4D94">
        <w:rPr>
          <w:rFonts w:ascii="Palatino Linotype" w:hAnsi="Palatino Linotype" w:cs="Arial"/>
          <w:b/>
        </w:rPr>
        <w:t>SAIMEX</w:t>
      </w:r>
      <w:r w:rsidRPr="00AA4D94">
        <w:rPr>
          <w:rFonts w:ascii="Palatino Linotype" w:hAnsi="Palatino Linotype" w:cs="Arial"/>
        </w:rPr>
        <w:t>, se advierte que</w:t>
      </w:r>
      <w:r w:rsidRPr="00AA4D94">
        <w:rPr>
          <w:rFonts w:ascii="Palatino Linotype" w:hAnsi="Palatino Linotype" w:cs="Arial"/>
          <w:b/>
        </w:rPr>
        <w:t xml:space="preserve"> LA RECURRENTE </w:t>
      </w:r>
      <w:r w:rsidRPr="00AA4D94">
        <w:rPr>
          <w:rFonts w:ascii="Palatino Linotype" w:hAnsi="Palatino Linotype" w:cs="Arial"/>
        </w:rPr>
        <w:t xml:space="preserve">omitió presentar </w:t>
      </w:r>
      <w:r w:rsidRPr="00AA4D94">
        <w:rPr>
          <w:rFonts w:ascii="Palatino Linotype" w:hAnsi="Palatino Linotype"/>
        </w:rPr>
        <w:t>manifestaciones</w:t>
      </w:r>
      <w:r w:rsidRPr="00AA4D94">
        <w:rPr>
          <w:rFonts w:ascii="Palatino Linotype" w:hAnsi="Palatino Linotype" w:cs="Arial"/>
        </w:rPr>
        <w:t xml:space="preserve"> y alegatos, así como ofrecer los medios de prueba que a su derecho convinieran. Por su parte, </w:t>
      </w:r>
      <w:r w:rsidRPr="00AA4D94">
        <w:rPr>
          <w:rFonts w:ascii="Palatino Linotype" w:hAnsi="Palatino Linotype" w:cs="Arial"/>
          <w:b/>
        </w:rPr>
        <w:t xml:space="preserve">EL SUJETO OBLIGADO </w:t>
      </w:r>
      <w:r w:rsidRPr="00AA4D94">
        <w:rPr>
          <w:rFonts w:ascii="Palatino Linotype" w:hAnsi="Palatino Linotype" w:cs="Arial"/>
        </w:rPr>
        <w:t xml:space="preserve">de igual forma, fue omiso en presentar el Informe Justificado correspondiente, como se aprecia de la siguiente imagen: </w:t>
      </w:r>
    </w:p>
    <w:p w:rsidR="000545BF" w:rsidRPr="00AA4D94" w:rsidRDefault="0096389A" w:rsidP="00132738">
      <w:pPr>
        <w:pStyle w:val="Prrafodelista"/>
        <w:widowControl w:val="0"/>
        <w:tabs>
          <w:tab w:val="left" w:pos="709"/>
        </w:tabs>
        <w:autoSpaceDE w:val="0"/>
        <w:autoSpaceDN w:val="0"/>
        <w:adjustRightInd w:val="0"/>
        <w:ind w:left="0"/>
        <w:jc w:val="center"/>
        <w:rPr>
          <w:rFonts w:ascii="Palatino Linotype" w:hAnsi="Palatino Linotype" w:cs="Arial"/>
        </w:rPr>
      </w:pPr>
      <w:r w:rsidRPr="00AA4D94">
        <w:rPr>
          <w:noProof/>
          <w:lang w:eastAsia="es-MX"/>
        </w:rPr>
        <w:drawing>
          <wp:inline distT="0" distB="0" distL="0" distR="0" wp14:anchorId="77B8146B" wp14:editId="320A914E">
            <wp:extent cx="5791835" cy="19475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47545"/>
                    </a:xfrm>
                    <a:prstGeom prst="rect">
                      <a:avLst/>
                    </a:prstGeom>
                  </pic:spPr>
                </pic:pic>
              </a:graphicData>
            </a:graphic>
          </wp:inline>
        </w:drawing>
      </w:r>
    </w:p>
    <w:p w:rsidR="00B97822" w:rsidRPr="00AA4D94" w:rsidRDefault="00270CBB" w:rsidP="00EC2991">
      <w:pPr>
        <w:pStyle w:val="Prrafodelista"/>
        <w:numPr>
          <w:ilvl w:val="0"/>
          <w:numId w:val="6"/>
        </w:numPr>
        <w:tabs>
          <w:tab w:val="left" w:pos="567"/>
        </w:tabs>
        <w:spacing w:before="360" w:after="240" w:line="360" w:lineRule="auto"/>
        <w:ind w:left="0" w:firstLine="0"/>
        <w:jc w:val="both"/>
        <w:rPr>
          <w:rFonts w:ascii="Palatino Linotype" w:hAnsi="Palatino Linotype"/>
        </w:rPr>
      </w:pPr>
      <w:r w:rsidRPr="00AA4D94">
        <w:rPr>
          <w:rFonts w:ascii="Palatino Linotype" w:hAnsi="Palatino Linotype" w:cs="Arial"/>
        </w:rPr>
        <w:t>Una</w:t>
      </w:r>
      <w:r w:rsidR="00D730A4" w:rsidRPr="00AA4D94">
        <w:rPr>
          <w:rFonts w:ascii="Palatino Linotype" w:hAnsi="Palatino Linotype" w:cs="Arial"/>
        </w:rPr>
        <w:t xml:space="preserve"> </w:t>
      </w:r>
      <w:r w:rsidRPr="00AA4D94">
        <w:rPr>
          <w:rFonts w:ascii="Palatino Linotype" w:hAnsi="Palatino Linotype" w:cs="Arial"/>
        </w:rPr>
        <w:t>vez</w:t>
      </w:r>
      <w:r w:rsidR="00D730A4" w:rsidRPr="00AA4D94">
        <w:rPr>
          <w:rFonts w:ascii="Palatino Linotype" w:hAnsi="Palatino Linotype" w:cs="Arial"/>
        </w:rPr>
        <w:t xml:space="preserve"> </w:t>
      </w:r>
      <w:r w:rsidRPr="00AA4D94">
        <w:rPr>
          <w:rFonts w:ascii="Palatino Linotype" w:hAnsi="Palatino Linotype" w:cs="Arial"/>
        </w:rPr>
        <w:t>a</w:t>
      </w:r>
      <w:r w:rsidR="00FF3111" w:rsidRPr="00AA4D94">
        <w:rPr>
          <w:rFonts w:ascii="Palatino Linotype" w:hAnsi="Palatino Linotype" w:cs="Arial"/>
        </w:rPr>
        <w:t>nalizado</w:t>
      </w:r>
      <w:r w:rsidR="00D730A4" w:rsidRPr="00AA4D94">
        <w:rPr>
          <w:rFonts w:ascii="Palatino Linotype" w:hAnsi="Palatino Linotype" w:cs="Arial"/>
        </w:rPr>
        <w:t xml:space="preserve"> </w:t>
      </w:r>
      <w:r w:rsidR="00FF3111" w:rsidRPr="00AA4D94">
        <w:rPr>
          <w:rFonts w:ascii="Palatino Linotype" w:hAnsi="Palatino Linotype" w:cs="Arial"/>
        </w:rPr>
        <w:t>el</w:t>
      </w:r>
      <w:r w:rsidR="00D730A4" w:rsidRPr="00AA4D94">
        <w:rPr>
          <w:rFonts w:ascii="Palatino Linotype" w:hAnsi="Palatino Linotype" w:cs="Arial"/>
        </w:rPr>
        <w:t xml:space="preserve"> </w:t>
      </w:r>
      <w:r w:rsidR="00FF3111" w:rsidRPr="00AA4D94">
        <w:rPr>
          <w:rFonts w:ascii="Palatino Linotype" w:hAnsi="Palatino Linotype" w:cs="Arial"/>
        </w:rPr>
        <w:t>estado</w:t>
      </w:r>
      <w:r w:rsidR="00D730A4" w:rsidRPr="00AA4D94">
        <w:rPr>
          <w:rFonts w:ascii="Palatino Linotype" w:hAnsi="Palatino Linotype" w:cs="Arial"/>
        </w:rPr>
        <w:t xml:space="preserve"> </w:t>
      </w:r>
      <w:r w:rsidR="00FF3111" w:rsidRPr="00AA4D94">
        <w:rPr>
          <w:rFonts w:ascii="Palatino Linotype" w:hAnsi="Palatino Linotype" w:cs="Arial"/>
        </w:rPr>
        <w:t>procesal</w:t>
      </w:r>
      <w:r w:rsidR="00D730A4" w:rsidRPr="00AA4D94">
        <w:rPr>
          <w:rFonts w:ascii="Palatino Linotype" w:hAnsi="Palatino Linotype" w:cs="Arial"/>
        </w:rPr>
        <w:t xml:space="preserve"> </w:t>
      </w:r>
      <w:r w:rsidR="00FF3111" w:rsidRPr="00AA4D94">
        <w:rPr>
          <w:rFonts w:ascii="Palatino Linotype" w:hAnsi="Palatino Linotype" w:cs="Arial"/>
        </w:rPr>
        <w:t>que</w:t>
      </w:r>
      <w:r w:rsidR="00D730A4" w:rsidRPr="00AA4D94">
        <w:rPr>
          <w:rFonts w:ascii="Palatino Linotype" w:hAnsi="Palatino Linotype" w:cs="Arial"/>
        </w:rPr>
        <w:t xml:space="preserve"> </w:t>
      </w:r>
      <w:r w:rsidR="00FF3111" w:rsidRPr="00AA4D94">
        <w:rPr>
          <w:rFonts w:ascii="Palatino Linotype" w:hAnsi="Palatino Linotype" w:cs="Arial"/>
        </w:rPr>
        <w:t>guarda</w:t>
      </w:r>
      <w:r w:rsidR="00D730A4" w:rsidRPr="00AA4D94">
        <w:rPr>
          <w:rFonts w:ascii="Palatino Linotype" w:hAnsi="Palatino Linotype" w:cs="Arial"/>
        </w:rPr>
        <w:t xml:space="preserve"> </w:t>
      </w:r>
      <w:r w:rsidR="00FF3111" w:rsidRPr="00AA4D94">
        <w:rPr>
          <w:rFonts w:ascii="Palatino Linotype" w:hAnsi="Palatino Linotype" w:cs="Arial"/>
        </w:rPr>
        <w:t>el</w:t>
      </w:r>
      <w:r w:rsidR="00D730A4" w:rsidRPr="00AA4D94">
        <w:rPr>
          <w:rFonts w:ascii="Palatino Linotype" w:hAnsi="Palatino Linotype" w:cs="Arial"/>
        </w:rPr>
        <w:t xml:space="preserve"> </w:t>
      </w:r>
      <w:r w:rsidR="00FF3111" w:rsidRPr="00AA4D94">
        <w:rPr>
          <w:rFonts w:ascii="Palatino Linotype" w:hAnsi="Palatino Linotype" w:cs="Arial"/>
        </w:rPr>
        <w:t>expediente,</w:t>
      </w:r>
      <w:r w:rsidR="00D730A4" w:rsidRPr="00AA4D94">
        <w:rPr>
          <w:rFonts w:ascii="Palatino Linotype" w:hAnsi="Palatino Linotype" w:cs="Arial"/>
        </w:rPr>
        <w:t xml:space="preserve"> </w:t>
      </w:r>
      <w:r w:rsidR="00FF3111" w:rsidRPr="00AA4D94">
        <w:rPr>
          <w:rFonts w:ascii="Palatino Linotype" w:hAnsi="Palatino Linotype" w:cs="Arial"/>
        </w:rPr>
        <w:t>en</w:t>
      </w:r>
      <w:r w:rsidR="00D730A4" w:rsidRPr="00AA4D94">
        <w:rPr>
          <w:rFonts w:ascii="Palatino Linotype" w:hAnsi="Palatino Linotype" w:cs="Arial"/>
        </w:rPr>
        <w:t xml:space="preserve"> </w:t>
      </w:r>
      <w:r w:rsidR="00FF3111" w:rsidRPr="00AA4D94">
        <w:rPr>
          <w:rFonts w:ascii="Palatino Linotype" w:hAnsi="Palatino Linotype" w:cs="Arial"/>
        </w:rPr>
        <w:t>fecha</w:t>
      </w:r>
      <w:r w:rsidR="00D730A4" w:rsidRPr="00AA4D94">
        <w:rPr>
          <w:rFonts w:ascii="Palatino Linotype" w:hAnsi="Palatino Linotype" w:cs="Arial"/>
        </w:rPr>
        <w:t xml:space="preserve"> </w:t>
      </w:r>
      <w:r w:rsidR="00B229E6" w:rsidRPr="00AA4D94">
        <w:rPr>
          <w:rFonts w:ascii="Palatino Linotype" w:hAnsi="Palatino Linotype" w:cs="Arial"/>
        </w:rPr>
        <w:t>veintuno</w:t>
      </w:r>
      <w:r w:rsidR="00E342E3" w:rsidRPr="00AA4D94">
        <w:rPr>
          <w:rFonts w:ascii="Palatino Linotype" w:hAnsi="Palatino Linotype" w:cs="Arial"/>
        </w:rPr>
        <w:t xml:space="preserve"> </w:t>
      </w:r>
      <w:r w:rsidR="00E342E3" w:rsidRPr="00AA4D94">
        <w:rPr>
          <w:rFonts w:ascii="Palatino Linotype" w:hAnsi="Palatino Linotype" w:cs="Arial"/>
          <w:lang w:val="es-ES_tradnl"/>
        </w:rPr>
        <w:t xml:space="preserve">de </w:t>
      </w:r>
      <w:r w:rsidR="00132738" w:rsidRPr="00AA4D94">
        <w:rPr>
          <w:rFonts w:ascii="Palatino Linotype" w:hAnsi="Palatino Linotype" w:cs="Arial"/>
          <w:lang w:val="es-ES_tradnl"/>
        </w:rPr>
        <w:t>enero</w:t>
      </w:r>
      <w:r w:rsidR="00E342E3" w:rsidRPr="00AA4D94">
        <w:rPr>
          <w:rFonts w:ascii="Palatino Linotype" w:hAnsi="Palatino Linotype" w:cs="Arial"/>
          <w:lang w:val="es-ES_tradnl"/>
        </w:rPr>
        <w:t xml:space="preserve"> de dos mil dieci</w:t>
      </w:r>
      <w:r w:rsidR="00132738" w:rsidRPr="00AA4D94">
        <w:rPr>
          <w:rFonts w:ascii="Palatino Linotype" w:hAnsi="Palatino Linotype" w:cs="Arial"/>
          <w:lang w:val="es-ES_tradnl"/>
        </w:rPr>
        <w:t>nueve</w:t>
      </w:r>
      <w:r w:rsidR="00FF3111" w:rsidRPr="00AA4D94">
        <w:rPr>
          <w:rFonts w:ascii="Palatino Linotype" w:hAnsi="Palatino Linotype" w:cs="Arial"/>
        </w:rPr>
        <w:t>,</w:t>
      </w:r>
      <w:r w:rsidR="00D730A4" w:rsidRPr="00AA4D94">
        <w:rPr>
          <w:rFonts w:ascii="Palatino Linotype" w:hAnsi="Palatino Linotype" w:cs="Arial"/>
        </w:rPr>
        <w:t xml:space="preserve"> </w:t>
      </w:r>
      <w:r w:rsidR="00FF3111" w:rsidRPr="00AA4D94">
        <w:rPr>
          <w:rFonts w:ascii="Palatino Linotype" w:hAnsi="Palatino Linotype" w:cs="Arial"/>
        </w:rPr>
        <w:t>la</w:t>
      </w:r>
      <w:r w:rsidR="00D730A4" w:rsidRPr="00AA4D94">
        <w:rPr>
          <w:rFonts w:ascii="Palatino Linotype" w:hAnsi="Palatino Linotype" w:cs="Arial"/>
        </w:rPr>
        <w:t xml:space="preserve"> </w:t>
      </w:r>
      <w:r w:rsidR="00FF3111" w:rsidRPr="00AA4D94">
        <w:rPr>
          <w:rFonts w:ascii="Palatino Linotype" w:hAnsi="Palatino Linotype" w:cs="Arial"/>
        </w:rPr>
        <w:t>Comisionada</w:t>
      </w:r>
      <w:r w:rsidR="00D730A4" w:rsidRPr="00AA4D94">
        <w:rPr>
          <w:rFonts w:ascii="Palatino Linotype" w:hAnsi="Palatino Linotype" w:cs="Arial"/>
        </w:rPr>
        <w:t xml:space="preserve"> </w:t>
      </w:r>
      <w:r w:rsidR="00FF3111" w:rsidRPr="00AA4D94">
        <w:rPr>
          <w:rFonts w:ascii="Palatino Linotype" w:hAnsi="Palatino Linotype" w:cs="Arial"/>
        </w:rPr>
        <w:t>Ponente</w:t>
      </w:r>
      <w:r w:rsidR="00D730A4" w:rsidRPr="00AA4D94">
        <w:rPr>
          <w:rFonts w:ascii="Palatino Linotype" w:hAnsi="Palatino Linotype" w:cs="Arial"/>
        </w:rPr>
        <w:t xml:space="preserve"> </w:t>
      </w:r>
      <w:r w:rsidR="00FF3111" w:rsidRPr="00AA4D94">
        <w:rPr>
          <w:rFonts w:ascii="Palatino Linotype" w:hAnsi="Palatino Linotype" w:cs="Arial"/>
        </w:rPr>
        <w:t>acordó</w:t>
      </w:r>
      <w:r w:rsidR="00D730A4" w:rsidRPr="00AA4D94">
        <w:rPr>
          <w:rFonts w:ascii="Palatino Linotype" w:hAnsi="Palatino Linotype" w:cs="Arial"/>
        </w:rPr>
        <w:t xml:space="preserve"> </w:t>
      </w:r>
      <w:r w:rsidR="00FF3111" w:rsidRPr="00AA4D94">
        <w:rPr>
          <w:rFonts w:ascii="Palatino Linotype" w:hAnsi="Palatino Linotype" w:cs="Arial"/>
        </w:rPr>
        <w:t>el</w:t>
      </w:r>
      <w:r w:rsidR="00D730A4" w:rsidRPr="00AA4D94">
        <w:rPr>
          <w:rFonts w:ascii="Palatino Linotype" w:hAnsi="Palatino Linotype" w:cs="Arial"/>
        </w:rPr>
        <w:t xml:space="preserve"> </w:t>
      </w:r>
      <w:r w:rsidR="00FF3111" w:rsidRPr="00AA4D94">
        <w:rPr>
          <w:rFonts w:ascii="Palatino Linotype" w:hAnsi="Palatino Linotype" w:cs="Arial"/>
        </w:rPr>
        <w:t>cierre</w:t>
      </w:r>
      <w:r w:rsidR="00D730A4" w:rsidRPr="00AA4D94">
        <w:rPr>
          <w:rFonts w:ascii="Palatino Linotype" w:hAnsi="Palatino Linotype" w:cs="Arial"/>
        </w:rPr>
        <w:t xml:space="preserve"> </w:t>
      </w:r>
      <w:r w:rsidR="00FF3111" w:rsidRPr="00AA4D94">
        <w:rPr>
          <w:rFonts w:ascii="Palatino Linotype" w:hAnsi="Palatino Linotype" w:cs="Arial"/>
        </w:rPr>
        <w:t>de</w:t>
      </w:r>
      <w:r w:rsidR="00D730A4" w:rsidRPr="00AA4D94">
        <w:rPr>
          <w:rFonts w:ascii="Palatino Linotype" w:hAnsi="Palatino Linotype" w:cs="Arial"/>
        </w:rPr>
        <w:t xml:space="preserve"> </w:t>
      </w:r>
      <w:r w:rsidR="00FF3111" w:rsidRPr="00AA4D94">
        <w:rPr>
          <w:rFonts w:ascii="Palatino Linotype" w:hAnsi="Palatino Linotype" w:cs="Arial"/>
        </w:rPr>
        <w:t>instrucción,</w:t>
      </w:r>
      <w:r w:rsidR="00D730A4" w:rsidRPr="00AA4D94">
        <w:rPr>
          <w:rFonts w:ascii="Palatino Linotype" w:hAnsi="Palatino Linotype" w:cs="Arial"/>
        </w:rPr>
        <w:t xml:space="preserve"> </w:t>
      </w:r>
      <w:r w:rsidR="00FF3111" w:rsidRPr="00AA4D94">
        <w:rPr>
          <w:rFonts w:ascii="Palatino Linotype" w:hAnsi="Palatino Linotype" w:cs="Arial"/>
        </w:rPr>
        <w:t>así</w:t>
      </w:r>
      <w:r w:rsidR="00D730A4" w:rsidRPr="00AA4D94">
        <w:rPr>
          <w:rFonts w:ascii="Palatino Linotype" w:hAnsi="Palatino Linotype" w:cs="Arial"/>
        </w:rPr>
        <w:t xml:space="preserve"> </w:t>
      </w:r>
      <w:r w:rsidR="00FF3111" w:rsidRPr="00AA4D94">
        <w:rPr>
          <w:rFonts w:ascii="Palatino Linotype" w:hAnsi="Palatino Linotype" w:cs="Arial"/>
          <w:lang w:val="es-ES_tradnl"/>
        </w:rPr>
        <w:t>como</w:t>
      </w:r>
      <w:r w:rsidR="00D730A4" w:rsidRPr="00AA4D94">
        <w:rPr>
          <w:rFonts w:ascii="Palatino Linotype" w:hAnsi="Palatino Linotype" w:cs="Arial"/>
        </w:rPr>
        <w:t xml:space="preserve"> </w:t>
      </w:r>
      <w:r w:rsidR="00FF3111" w:rsidRPr="00AA4D94">
        <w:rPr>
          <w:rFonts w:ascii="Palatino Linotype" w:hAnsi="Palatino Linotype" w:cs="Arial"/>
        </w:rPr>
        <w:t>la</w:t>
      </w:r>
      <w:r w:rsidR="00D730A4" w:rsidRPr="00AA4D94">
        <w:rPr>
          <w:rFonts w:ascii="Palatino Linotype" w:hAnsi="Palatino Linotype" w:cs="Arial"/>
        </w:rPr>
        <w:t xml:space="preserve"> </w:t>
      </w:r>
      <w:r w:rsidR="00FF3111" w:rsidRPr="00AA4D94">
        <w:rPr>
          <w:rFonts w:ascii="Palatino Linotype" w:hAnsi="Palatino Linotype" w:cs="Arial"/>
        </w:rPr>
        <w:t>remisión</w:t>
      </w:r>
      <w:r w:rsidR="00D730A4" w:rsidRPr="00AA4D94">
        <w:rPr>
          <w:rFonts w:ascii="Palatino Linotype" w:hAnsi="Palatino Linotype" w:cs="Arial"/>
        </w:rPr>
        <w:t xml:space="preserve"> </w:t>
      </w:r>
      <w:r w:rsidR="00FF3111" w:rsidRPr="00AA4D94">
        <w:rPr>
          <w:rFonts w:ascii="Palatino Linotype" w:hAnsi="Palatino Linotype" w:cs="Arial"/>
        </w:rPr>
        <w:t>del</w:t>
      </w:r>
      <w:r w:rsidR="00D730A4" w:rsidRPr="00AA4D94">
        <w:rPr>
          <w:rFonts w:ascii="Palatino Linotype" w:hAnsi="Palatino Linotype" w:cs="Arial"/>
        </w:rPr>
        <w:t xml:space="preserve"> </w:t>
      </w:r>
      <w:r w:rsidR="00FF3111" w:rsidRPr="00AA4D94">
        <w:rPr>
          <w:rFonts w:ascii="Palatino Linotype" w:hAnsi="Palatino Linotype" w:cs="Arial"/>
        </w:rPr>
        <w:t>mismo</w:t>
      </w:r>
      <w:r w:rsidR="00D730A4" w:rsidRPr="00AA4D94">
        <w:rPr>
          <w:rFonts w:ascii="Palatino Linotype" w:hAnsi="Palatino Linotype" w:cs="Arial"/>
        </w:rPr>
        <w:t xml:space="preserve"> </w:t>
      </w:r>
      <w:r w:rsidR="00FF3111" w:rsidRPr="00AA4D94">
        <w:rPr>
          <w:rFonts w:ascii="Palatino Linotype" w:hAnsi="Palatino Linotype" w:cs="Arial"/>
        </w:rPr>
        <w:t>a</w:t>
      </w:r>
      <w:r w:rsidR="00D730A4" w:rsidRPr="00AA4D94">
        <w:rPr>
          <w:rFonts w:ascii="Palatino Linotype" w:hAnsi="Palatino Linotype" w:cs="Arial"/>
        </w:rPr>
        <w:t xml:space="preserve"> </w:t>
      </w:r>
      <w:r w:rsidR="00FF3111" w:rsidRPr="00AA4D94">
        <w:rPr>
          <w:rFonts w:ascii="Palatino Linotype" w:hAnsi="Palatino Linotype" w:cs="Arial"/>
        </w:rPr>
        <w:t>efecto</w:t>
      </w:r>
      <w:r w:rsidR="00D730A4" w:rsidRPr="00AA4D94">
        <w:rPr>
          <w:rFonts w:ascii="Palatino Linotype" w:hAnsi="Palatino Linotype" w:cs="Arial"/>
        </w:rPr>
        <w:t xml:space="preserve"> </w:t>
      </w:r>
      <w:r w:rsidR="00FF3111" w:rsidRPr="00AA4D94">
        <w:rPr>
          <w:rFonts w:ascii="Palatino Linotype" w:hAnsi="Palatino Linotype" w:cs="Arial"/>
          <w:lang w:val="es-ES_tradnl"/>
        </w:rPr>
        <w:t>de</w:t>
      </w:r>
      <w:r w:rsidR="00D730A4" w:rsidRPr="00AA4D94">
        <w:rPr>
          <w:rFonts w:ascii="Palatino Linotype" w:hAnsi="Palatino Linotype" w:cs="Arial"/>
        </w:rPr>
        <w:t xml:space="preserve"> </w:t>
      </w:r>
      <w:r w:rsidR="00FF3111" w:rsidRPr="00AA4D94">
        <w:rPr>
          <w:rFonts w:ascii="Palatino Linotype" w:hAnsi="Palatino Linotype" w:cs="Arial"/>
        </w:rPr>
        <w:t>ser</w:t>
      </w:r>
      <w:r w:rsidR="00D730A4" w:rsidRPr="00AA4D94">
        <w:rPr>
          <w:rFonts w:ascii="Palatino Linotype" w:hAnsi="Palatino Linotype" w:cs="Arial"/>
        </w:rPr>
        <w:t xml:space="preserve"> </w:t>
      </w:r>
      <w:r w:rsidR="00FF3111" w:rsidRPr="00AA4D94">
        <w:rPr>
          <w:rFonts w:ascii="Palatino Linotype" w:hAnsi="Palatino Linotype" w:cs="Arial"/>
        </w:rPr>
        <w:t>resuelto,</w:t>
      </w:r>
      <w:r w:rsidR="00D730A4" w:rsidRPr="00AA4D94">
        <w:rPr>
          <w:rFonts w:ascii="Palatino Linotype" w:hAnsi="Palatino Linotype" w:cs="Arial"/>
        </w:rPr>
        <w:t xml:space="preserve"> </w:t>
      </w:r>
      <w:r w:rsidR="00FF3111" w:rsidRPr="00AA4D94">
        <w:rPr>
          <w:rFonts w:ascii="Palatino Linotype" w:hAnsi="Palatino Linotype" w:cs="Arial"/>
        </w:rPr>
        <w:t>de</w:t>
      </w:r>
      <w:r w:rsidR="00D730A4" w:rsidRPr="00AA4D94">
        <w:rPr>
          <w:rFonts w:ascii="Palatino Linotype" w:hAnsi="Palatino Linotype" w:cs="Arial"/>
        </w:rPr>
        <w:t xml:space="preserve"> </w:t>
      </w:r>
      <w:r w:rsidR="00FF3111" w:rsidRPr="00AA4D94">
        <w:rPr>
          <w:rFonts w:ascii="Palatino Linotype" w:hAnsi="Palatino Linotype" w:cs="Arial"/>
        </w:rPr>
        <w:t>conformidad</w:t>
      </w:r>
      <w:r w:rsidR="00D730A4" w:rsidRPr="00AA4D94">
        <w:rPr>
          <w:rFonts w:ascii="Palatino Linotype" w:hAnsi="Palatino Linotype" w:cs="Arial"/>
        </w:rPr>
        <w:t xml:space="preserve"> </w:t>
      </w:r>
      <w:r w:rsidR="00FF3111" w:rsidRPr="00AA4D94">
        <w:rPr>
          <w:rFonts w:ascii="Palatino Linotype" w:hAnsi="Palatino Linotype" w:cs="Arial"/>
        </w:rPr>
        <w:t>con</w:t>
      </w:r>
      <w:r w:rsidR="00D730A4" w:rsidRPr="00AA4D94">
        <w:rPr>
          <w:rFonts w:ascii="Palatino Linotype" w:hAnsi="Palatino Linotype" w:cs="Arial"/>
        </w:rPr>
        <w:t xml:space="preserve"> </w:t>
      </w:r>
      <w:r w:rsidR="00FF3111" w:rsidRPr="00AA4D94">
        <w:rPr>
          <w:rFonts w:ascii="Palatino Linotype" w:hAnsi="Palatino Linotype" w:cs="Arial"/>
        </w:rPr>
        <w:t>lo</w:t>
      </w:r>
      <w:r w:rsidR="00D730A4" w:rsidRPr="00AA4D94">
        <w:rPr>
          <w:rFonts w:ascii="Palatino Linotype" w:hAnsi="Palatino Linotype" w:cs="Arial"/>
        </w:rPr>
        <w:t xml:space="preserve"> </w:t>
      </w:r>
      <w:r w:rsidR="00FF3111" w:rsidRPr="00AA4D94">
        <w:rPr>
          <w:rFonts w:ascii="Palatino Linotype" w:hAnsi="Palatino Linotype" w:cs="Arial"/>
        </w:rPr>
        <w:t>establecido</w:t>
      </w:r>
      <w:r w:rsidR="00D730A4" w:rsidRPr="00AA4D94">
        <w:rPr>
          <w:rFonts w:ascii="Palatino Linotype" w:hAnsi="Palatino Linotype" w:cs="Arial"/>
        </w:rPr>
        <w:t xml:space="preserve"> </w:t>
      </w:r>
      <w:r w:rsidR="00FF3111" w:rsidRPr="00AA4D94">
        <w:rPr>
          <w:rFonts w:ascii="Palatino Linotype" w:hAnsi="Palatino Linotype" w:cs="Arial"/>
        </w:rPr>
        <w:t>en</w:t>
      </w:r>
      <w:r w:rsidR="00D730A4" w:rsidRPr="00AA4D94">
        <w:rPr>
          <w:rFonts w:ascii="Palatino Linotype" w:hAnsi="Palatino Linotype" w:cs="Arial"/>
        </w:rPr>
        <w:t xml:space="preserve"> </w:t>
      </w:r>
      <w:r w:rsidR="00FF3111" w:rsidRPr="00AA4D94">
        <w:rPr>
          <w:rFonts w:ascii="Palatino Linotype" w:hAnsi="Palatino Linotype" w:cs="Arial"/>
        </w:rPr>
        <w:t>el</w:t>
      </w:r>
      <w:r w:rsidR="00D730A4" w:rsidRPr="00AA4D94">
        <w:rPr>
          <w:rFonts w:ascii="Palatino Linotype" w:hAnsi="Palatino Linotype" w:cs="Arial"/>
        </w:rPr>
        <w:t xml:space="preserve"> </w:t>
      </w:r>
      <w:r w:rsidR="00FF3111" w:rsidRPr="00AA4D94">
        <w:rPr>
          <w:rFonts w:ascii="Palatino Linotype" w:hAnsi="Palatino Linotype" w:cs="Arial"/>
        </w:rPr>
        <w:t>artículo</w:t>
      </w:r>
      <w:r w:rsidR="00D730A4" w:rsidRPr="00AA4D94">
        <w:rPr>
          <w:rFonts w:ascii="Palatino Linotype" w:hAnsi="Palatino Linotype" w:cs="Arial"/>
        </w:rPr>
        <w:t xml:space="preserve"> </w:t>
      </w:r>
      <w:r w:rsidR="00FF3111" w:rsidRPr="00AA4D94">
        <w:rPr>
          <w:rFonts w:ascii="Palatino Linotype" w:hAnsi="Palatino Linotype" w:cs="Arial"/>
        </w:rPr>
        <w:t>185</w:t>
      </w:r>
      <w:r w:rsidR="00EA1249" w:rsidRPr="00AA4D94">
        <w:rPr>
          <w:rFonts w:ascii="Palatino Linotype" w:hAnsi="Palatino Linotype" w:cs="Arial"/>
        </w:rPr>
        <w:t>,</w:t>
      </w:r>
      <w:r w:rsidR="00D730A4" w:rsidRPr="00AA4D94">
        <w:rPr>
          <w:rFonts w:ascii="Palatino Linotype" w:hAnsi="Palatino Linotype" w:cs="Arial"/>
        </w:rPr>
        <w:t xml:space="preserve"> </w:t>
      </w:r>
      <w:r w:rsidR="00FF3111" w:rsidRPr="00AA4D94">
        <w:rPr>
          <w:rFonts w:ascii="Palatino Linotype" w:hAnsi="Palatino Linotype" w:cs="Arial"/>
        </w:rPr>
        <w:t>fracciones</w:t>
      </w:r>
      <w:r w:rsidR="00D730A4" w:rsidRPr="00AA4D94">
        <w:rPr>
          <w:rFonts w:ascii="Palatino Linotype" w:hAnsi="Palatino Linotype" w:cs="Arial"/>
        </w:rPr>
        <w:t xml:space="preserve"> </w:t>
      </w:r>
      <w:r w:rsidR="00FF3111" w:rsidRPr="00AA4D94">
        <w:rPr>
          <w:rFonts w:ascii="Palatino Linotype" w:hAnsi="Palatino Linotype" w:cs="Arial"/>
        </w:rPr>
        <w:t>VI</w:t>
      </w:r>
      <w:r w:rsidR="00D730A4" w:rsidRPr="00AA4D94">
        <w:rPr>
          <w:rFonts w:ascii="Palatino Linotype" w:hAnsi="Palatino Linotype" w:cs="Arial"/>
        </w:rPr>
        <w:t xml:space="preserve"> </w:t>
      </w:r>
      <w:r w:rsidR="00FF3111" w:rsidRPr="00AA4D94">
        <w:rPr>
          <w:rFonts w:ascii="Palatino Linotype" w:hAnsi="Palatino Linotype" w:cs="Arial"/>
        </w:rPr>
        <w:t>y</w:t>
      </w:r>
      <w:r w:rsidR="00D730A4" w:rsidRPr="00AA4D94">
        <w:rPr>
          <w:rFonts w:ascii="Palatino Linotype" w:hAnsi="Palatino Linotype" w:cs="Arial"/>
        </w:rPr>
        <w:t xml:space="preserve"> </w:t>
      </w:r>
      <w:r w:rsidR="00FF3111" w:rsidRPr="00AA4D94">
        <w:rPr>
          <w:rFonts w:ascii="Palatino Linotype" w:hAnsi="Palatino Linotype" w:cs="Arial"/>
        </w:rPr>
        <w:t>VIII</w:t>
      </w:r>
      <w:r w:rsidR="00EA1249" w:rsidRPr="00AA4D94">
        <w:rPr>
          <w:rFonts w:ascii="Palatino Linotype" w:hAnsi="Palatino Linotype" w:cs="Arial"/>
        </w:rPr>
        <w:t>,</w:t>
      </w:r>
      <w:r w:rsidR="00D730A4" w:rsidRPr="00AA4D94">
        <w:rPr>
          <w:rFonts w:ascii="Palatino Linotype" w:hAnsi="Palatino Linotype" w:cs="Arial"/>
        </w:rPr>
        <w:t xml:space="preserve"> </w:t>
      </w:r>
      <w:r w:rsidR="00FF3111" w:rsidRPr="00AA4D94">
        <w:rPr>
          <w:rFonts w:ascii="Palatino Linotype" w:hAnsi="Palatino Linotype" w:cs="Arial"/>
        </w:rPr>
        <w:t>de</w:t>
      </w:r>
      <w:r w:rsidR="00D730A4" w:rsidRPr="00AA4D94">
        <w:rPr>
          <w:rFonts w:ascii="Palatino Linotype" w:hAnsi="Palatino Linotype" w:cs="Arial"/>
        </w:rPr>
        <w:t xml:space="preserve"> </w:t>
      </w:r>
      <w:r w:rsidR="00FF3111" w:rsidRPr="00AA4D94">
        <w:rPr>
          <w:rFonts w:ascii="Palatino Linotype" w:hAnsi="Palatino Linotype" w:cs="Arial"/>
        </w:rPr>
        <w:t>la</w:t>
      </w:r>
      <w:r w:rsidR="00D730A4" w:rsidRPr="00AA4D94">
        <w:rPr>
          <w:rFonts w:ascii="Palatino Linotype" w:hAnsi="Palatino Linotype" w:cs="Arial"/>
        </w:rPr>
        <w:t xml:space="preserve"> </w:t>
      </w:r>
      <w:r w:rsidR="00FF3111" w:rsidRPr="00AA4D94">
        <w:rPr>
          <w:rFonts w:ascii="Palatino Linotype" w:hAnsi="Palatino Linotype" w:cs="Arial"/>
        </w:rPr>
        <w:t>Ley</w:t>
      </w:r>
      <w:r w:rsidR="00D730A4" w:rsidRPr="00AA4D94">
        <w:rPr>
          <w:rFonts w:ascii="Palatino Linotype" w:hAnsi="Palatino Linotype" w:cs="Arial"/>
        </w:rPr>
        <w:t xml:space="preserve"> </w:t>
      </w:r>
      <w:r w:rsidR="00FF3111" w:rsidRPr="00AA4D94">
        <w:rPr>
          <w:rFonts w:ascii="Palatino Linotype" w:hAnsi="Palatino Linotype" w:cs="Arial"/>
        </w:rPr>
        <w:t>de</w:t>
      </w:r>
      <w:r w:rsidR="00D730A4" w:rsidRPr="00AA4D94">
        <w:rPr>
          <w:rFonts w:ascii="Palatino Linotype" w:hAnsi="Palatino Linotype" w:cs="Arial"/>
        </w:rPr>
        <w:t xml:space="preserve"> </w:t>
      </w:r>
      <w:r w:rsidR="00FF3111" w:rsidRPr="00AA4D94">
        <w:rPr>
          <w:rFonts w:ascii="Palatino Linotype" w:hAnsi="Palatino Linotype" w:cs="Arial"/>
        </w:rPr>
        <w:t>Transparencia</w:t>
      </w:r>
      <w:r w:rsidR="00D730A4" w:rsidRPr="00AA4D94">
        <w:rPr>
          <w:rFonts w:ascii="Palatino Linotype" w:hAnsi="Palatino Linotype" w:cs="Arial"/>
        </w:rPr>
        <w:t xml:space="preserve"> </w:t>
      </w:r>
      <w:r w:rsidR="00FF3111" w:rsidRPr="00AA4D94">
        <w:rPr>
          <w:rFonts w:ascii="Palatino Linotype" w:hAnsi="Palatino Linotype" w:cs="Arial"/>
        </w:rPr>
        <w:t>y</w:t>
      </w:r>
      <w:r w:rsidR="00D730A4" w:rsidRPr="00AA4D94">
        <w:rPr>
          <w:rFonts w:ascii="Palatino Linotype" w:hAnsi="Palatino Linotype" w:cs="Arial"/>
        </w:rPr>
        <w:t xml:space="preserve"> </w:t>
      </w:r>
      <w:r w:rsidR="00FF3111" w:rsidRPr="00AA4D94">
        <w:rPr>
          <w:rFonts w:ascii="Palatino Linotype" w:hAnsi="Palatino Linotype" w:cs="Arial"/>
        </w:rPr>
        <w:t>Acceso</w:t>
      </w:r>
      <w:r w:rsidR="00D730A4" w:rsidRPr="00AA4D94">
        <w:rPr>
          <w:rFonts w:ascii="Palatino Linotype" w:hAnsi="Palatino Linotype" w:cs="Arial"/>
        </w:rPr>
        <w:t xml:space="preserve"> </w:t>
      </w:r>
      <w:r w:rsidR="00FF3111" w:rsidRPr="00AA4D94">
        <w:rPr>
          <w:rFonts w:ascii="Palatino Linotype" w:hAnsi="Palatino Linotype" w:cs="Arial"/>
        </w:rPr>
        <w:t>a</w:t>
      </w:r>
      <w:r w:rsidR="00D730A4" w:rsidRPr="00AA4D94">
        <w:rPr>
          <w:rFonts w:ascii="Palatino Linotype" w:hAnsi="Palatino Linotype" w:cs="Arial"/>
        </w:rPr>
        <w:t xml:space="preserve"> </w:t>
      </w:r>
      <w:r w:rsidR="00FF3111" w:rsidRPr="00AA4D94">
        <w:rPr>
          <w:rFonts w:ascii="Palatino Linotype" w:hAnsi="Palatino Linotype" w:cs="Arial"/>
        </w:rPr>
        <w:t>la</w:t>
      </w:r>
      <w:r w:rsidR="00D730A4" w:rsidRPr="00AA4D94">
        <w:rPr>
          <w:rFonts w:ascii="Palatino Linotype" w:hAnsi="Palatino Linotype" w:cs="Arial"/>
        </w:rPr>
        <w:t xml:space="preserve"> </w:t>
      </w:r>
      <w:r w:rsidR="00FF3111" w:rsidRPr="00AA4D94">
        <w:rPr>
          <w:rFonts w:ascii="Palatino Linotype" w:hAnsi="Palatino Linotype" w:cs="Arial"/>
        </w:rPr>
        <w:t>Información</w:t>
      </w:r>
      <w:r w:rsidR="00D730A4" w:rsidRPr="00AA4D94">
        <w:rPr>
          <w:rFonts w:ascii="Palatino Linotype" w:hAnsi="Palatino Linotype" w:cs="Arial"/>
        </w:rPr>
        <w:t xml:space="preserve"> </w:t>
      </w:r>
      <w:r w:rsidR="00FF3111" w:rsidRPr="00AA4D94">
        <w:rPr>
          <w:rFonts w:ascii="Palatino Linotype" w:hAnsi="Palatino Linotype" w:cs="Arial"/>
        </w:rPr>
        <w:t>Pública</w:t>
      </w:r>
      <w:r w:rsidR="00D730A4" w:rsidRPr="00AA4D94">
        <w:rPr>
          <w:rFonts w:ascii="Palatino Linotype" w:hAnsi="Palatino Linotype" w:cs="Arial"/>
        </w:rPr>
        <w:t xml:space="preserve"> </w:t>
      </w:r>
      <w:r w:rsidR="00FF3111" w:rsidRPr="00AA4D94">
        <w:rPr>
          <w:rFonts w:ascii="Palatino Linotype" w:hAnsi="Palatino Linotype" w:cs="Arial"/>
        </w:rPr>
        <w:t>del</w:t>
      </w:r>
      <w:r w:rsidR="00D730A4" w:rsidRPr="00AA4D94">
        <w:rPr>
          <w:rFonts w:ascii="Palatino Linotype" w:hAnsi="Palatino Linotype" w:cs="Arial"/>
        </w:rPr>
        <w:t xml:space="preserve"> </w:t>
      </w:r>
      <w:r w:rsidR="00FF3111" w:rsidRPr="00AA4D94">
        <w:rPr>
          <w:rFonts w:ascii="Palatino Linotype" w:hAnsi="Palatino Linotype" w:cs="Arial"/>
        </w:rPr>
        <w:t>Estado</w:t>
      </w:r>
      <w:r w:rsidR="00D730A4" w:rsidRPr="00AA4D94">
        <w:rPr>
          <w:rFonts w:ascii="Palatino Linotype" w:hAnsi="Palatino Linotype" w:cs="Arial"/>
        </w:rPr>
        <w:t xml:space="preserve"> </w:t>
      </w:r>
      <w:r w:rsidR="00FF3111" w:rsidRPr="00AA4D94">
        <w:rPr>
          <w:rFonts w:ascii="Palatino Linotype" w:hAnsi="Palatino Linotype" w:cs="Arial"/>
        </w:rPr>
        <w:t>de</w:t>
      </w:r>
      <w:r w:rsidR="00D730A4" w:rsidRPr="00AA4D94">
        <w:rPr>
          <w:rFonts w:ascii="Palatino Linotype" w:hAnsi="Palatino Linotype" w:cs="Arial"/>
        </w:rPr>
        <w:t xml:space="preserve"> </w:t>
      </w:r>
      <w:r w:rsidR="00FF3111" w:rsidRPr="00AA4D94">
        <w:rPr>
          <w:rFonts w:ascii="Palatino Linotype" w:hAnsi="Palatino Linotype" w:cs="Arial"/>
        </w:rPr>
        <w:t>México</w:t>
      </w:r>
      <w:r w:rsidR="00D730A4" w:rsidRPr="00AA4D94">
        <w:rPr>
          <w:rFonts w:ascii="Palatino Linotype" w:hAnsi="Palatino Linotype" w:cs="Arial"/>
        </w:rPr>
        <w:t xml:space="preserve"> </w:t>
      </w:r>
      <w:r w:rsidR="00FF3111" w:rsidRPr="00AA4D94">
        <w:rPr>
          <w:rFonts w:ascii="Palatino Linotype" w:hAnsi="Palatino Linotype" w:cs="Arial"/>
        </w:rPr>
        <w:t>y</w:t>
      </w:r>
      <w:r w:rsidR="00D730A4" w:rsidRPr="00AA4D94">
        <w:rPr>
          <w:rFonts w:ascii="Palatino Linotype" w:hAnsi="Palatino Linotype" w:cs="Arial"/>
        </w:rPr>
        <w:t xml:space="preserve"> </w:t>
      </w:r>
      <w:r w:rsidR="00FF3111" w:rsidRPr="00AA4D94">
        <w:rPr>
          <w:rFonts w:ascii="Palatino Linotype" w:hAnsi="Palatino Linotype" w:cs="Arial"/>
        </w:rPr>
        <w:t>Municipios.</w:t>
      </w:r>
    </w:p>
    <w:p w:rsidR="00201D8B" w:rsidRPr="00AA4D94" w:rsidRDefault="00201D8B" w:rsidP="00EC2991">
      <w:pPr>
        <w:pStyle w:val="Prrafodelista"/>
        <w:numPr>
          <w:ilvl w:val="0"/>
          <w:numId w:val="6"/>
        </w:numPr>
        <w:tabs>
          <w:tab w:val="left" w:pos="567"/>
        </w:tabs>
        <w:spacing w:before="360" w:after="240" w:line="360" w:lineRule="auto"/>
        <w:ind w:left="0" w:firstLine="0"/>
        <w:jc w:val="both"/>
        <w:rPr>
          <w:rFonts w:ascii="Palatino Linotype" w:hAnsi="Palatino Linotype"/>
        </w:rPr>
      </w:pPr>
      <w:r w:rsidRPr="00AA4D94">
        <w:rPr>
          <w:rFonts w:ascii="Palatino Linotype" w:hAnsi="Palatino Linotype" w:cs="Arial"/>
        </w:rPr>
        <w:t xml:space="preserve">En </w:t>
      </w:r>
      <w:r w:rsidRPr="00AA4D94">
        <w:rPr>
          <w:rFonts w:ascii="Palatino Linotype" w:hAnsi="Palatino Linotype" w:cs="Arial"/>
          <w:color w:val="000000" w:themeColor="text1"/>
        </w:rPr>
        <w:t xml:space="preserve">fecha </w:t>
      </w:r>
      <w:r w:rsidR="00B229E6" w:rsidRPr="00AA4D94">
        <w:rPr>
          <w:rFonts w:ascii="Palatino Linotype" w:hAnsi="Palatino Linotype" w:cs="Arial"/>
          <w:color w:val="000000" w:themeColor="text1"/>
        </w:rPr>
        <w:t>dieciocho</w:t>
      </w:r>
      <w:r w:rsidRPr="00AA4D94">
        <w:rPr>
          <w:rFonts w:ascii="Palatino Linotype" w:hAnsi="Palatino Linotype" w:cs="Arial"/>
          <w:color w:val="000000" w:themeColor="text1"/>
        </w:rPr>
        <w:t xml:space="preserve"> de </w:t>
      </w:r>
      <w:r w:rsidR="00132738" w:rsidRPr="00AA4D94">
        <w:rPr>
          <w:rFonts w:ascii="Palatino Linotype" w:hAnsi="Palatino Linotype" w:cs="Arial"/>
          <w:color w:val="000000" w:themeColor="text1"/>
        </w:rPr>
        <w:t>febrero</w:t>
      </w:r>
      <w:r w:rsidRPr="00AA4D94">
        <w:rPr>
          <w:rFonts w:ascii="Palatino Linotype" w:hAnsi="Palatino Linotype" w:cs="Arial"/>
          <w:color w:val="000000" w:themeColor="text1"/>
        </w:rPr>
        <w:t xml:space="preserve"> de dos mil dieci</w:t>
      </w:r>
      <w:r w:rsidR="00207FF8" w:rsidRPr="00AA4D94">
        <w:rPr>
          <w:rFonts w:ascii="Palatino Linotype" w:hAnsi="Palatino Linotype" w:cs="Arial"/>
          <w:color w:val="000000" w:themeColor="text1"/>
        </w:rPr>
        <w:t>nueve</w:t>
      </w:r>
      <w:r w:rsidRPr="00AA4D94">
        <w:rPr>
          <w:rFonts w:ascii="Palatino Linotype" w:hAnsi="Palatino Linotype" w:cs="Arial"/>
          <w:color w:val="000000" w:themeColor="text1"/>
        </w:rPr>
        <w:t xml:space="preserve">, la Comisionada Ponente acordó </w:t>
      </w:r>
      <w:r w:rsidRPr="00AA4D94">
        <w:rPr>
          <w:rFonts w:ascii="Palatino Linotype" w:hAnsi="Palatino Linotype"/>
          <w:color w:val="000000" w:themeColor="text1"/>
        </w:rPr>
        <w:t>ampliar</w:t>
      </w:r>
      <w:r w:rsidRPr="00AA4D94">
        <w:rPr>
          <w:rFonts w:ascii="Palatino Linotype" w:hAnsi="Palatino Linotype" w:cs="Arial"/>
          <w:color w:val="000000" w:themeColor="text1"/>
        </w:rPr>
        <w:t xml:space="preserve"> </w:t>
      </w:r>
      <w:r w:rsidRPr="00AA4D94">
        <w:rPr>
          <w:rFonts w:ascii="Palatino Linotype" w:hAnsi="Palatino Linotype" w:cs="Arial"/>
        </w:rPr>
        <w:t>el</w:t>
      </w:r>
      <w:r w:rsidRPr="00AA4D94">
        <w:rPr>
          <w:rFonts w:ascii="Palatino Linotype" w:hAnsi="Palatino Linotype" w:cs="Arial"/>
          <w:color w:val="000000" w:themeColor="text1"/>
        </w:rPr>
        <w:t xml:space="preserve"> plazo para resolver el recurso de revisión de mérito, por un periodo de hasta quince días hábiles</w:t>
      </w:r>
      <w:r w:rsidRPr="00AA4D94">
        <w:rPr>
          <w:rFonts w:ascii="Palatino Linotype" w:hAnsi="Palatino Linotype" w:cs="Arial"/>
        </w:rPr>
        <w:t xml:space="preserve">, de conformidad con el artículo 181, tercer párrafo de la </w:t>
      </w:r>
      <w:r w:rsidRPr="00AA4D94">
        <w:rPr>
          <w:rFonts w:ascii="Palatino Linotype" w:hAnsi="Palatino Linotype" w:cs="Arial"/>
        </w:rPr>
        <w:lastRenderedPageBreak/>
        <w:t xml:space="preserve">Ley de Transparencia y Acceso a la </w:t>
      </w:r>
      <w:r w:rsidRPr="00AA4D94">
        <w:rPr>
          <w:rFonts w:ascii="Palatino Linotype" w:hAnsi="Palatino Linotype"/>
        </w:rPr>
        <w:t>Información</w:t>
      </w:r>
      <w:r w:rsidRPr="00AA4D94">
        <w:rPr>
          <w:rFonts w:ascii="Palatino Linotype" w:hAnsi="Palatino Linotype" w:cs="Arial"/>
        </w:rPr>
        <w:t xml:space="preserve"> Pública del Estado de México y Municipios.</w:t>
      </w:r>
    </w:p>
    <w:p w:rsidR="004B4CB8" w:rsidRPr="00AA4D94" w:rsidRDefault="004B4CB8" w:rsidP="007879C7">
      <w:pPr>
        <w:spacing w:before="360" w:after="300" w:line="360" w:lineRule="auto"/>
        <w:jc w:val="center"/>
        <w:rPr>
          <w:rFonts w:ascii="Palatino Linotype" w:hAnsi="Palatino Linotype"/>
          <w:b/>
          <w:bCs/>
          <w:spacing w:val="40"/>
          <w:sz w:val="28"/>
        </w:rPr>
      </w:pPr>
      <w:r w:rsidRPr="00AA4D94">
        <w:rPr>
          <w:rFonts w:ascii="Palatino Linotype" w:hAnsi="Palatino Linotype"/>
          <w:b/>
          <w:bCs/>
          <w:spacing w:val="40"/>
          <w:sz w:val="28"/>
        </w:rPr>
        <w:t>CONSIDERANDO</w:t>
      </w:r>
    </w:p>
    <w:p w:rsidR="00AB4B9D" w:rsidRPr="00AA4D94"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A4D94">
        <w:rPr>
          <w:rFonts w:ascii="Palatino Linotype" w:hAnsi="Palatino Linotype"/>
          <w:b/>
        </w:rPr>
        <w:t>Competencia</w:t>
      </w:r>
      <w:r w:rsidRPr="00AA4D94">
        <w:rPr>
          <w:rFonts w:ascii="Palatino Linotype" w:hAnsi="Palatino Linotype"/>
        </w:rPr>
        <w:t>.</w:t>
      </w:r>
      <w:r w:rsidR="00D730A4" w:rsidRPr="00AA4D94">
        <w:rPr>
          <w:rFonts w:ascii="Palatino Linotype" w:hAnsi="Palatino Linotype"/>
          <w:b/>
        </w:rPr>
        <w:t xml:space="preserve"> </w:t>
      </w:r>
      <w:r w:rsidR="00B97822" w:rsidRPr="00AA4D9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AA4D94">
        <w:rPr>
          <w:rFonts w:ascii="Palatino Linotype" w:hAnsi="Palatino Linotype" w:cs="Arial"/>
        </w:rPr>
        <w:t>.</w:t>
      </w:r>
    </w:p>
    <w:p w:rsidR="0034196C" w:rsidRPr="00AA4D94" w:rsidRDefault="0034196C" w:rsidP="00EC299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AA4D94">
        <w:rPr>
          <w:rFonts w:ascii="Palatino Linotype" w:hAnsi="Palatino Linotype" w:cs="Arial"/>
          <w:b/>
        </w:rPr>
        <w:t>Interés.</w:t>
      </w:r>
      <w:r w:rsidR="00D730A4" w:rsidRPr="00AA4D94">
        <w:rPr>
          <w:rFonts w:ascii="Palatino Linotype" w:hAnsi="Palatino Linotype" w:cs="Arial"/>
        </w:rPr>
        <w:t xml:space="preserve"> </w:t>
      </w:r>
      <w:r w:rsidRPr="00AA4D94">
        <w:rPr>
          <w:rFonts w:ascii="Palatino Linotype" w:hAnsi="Palatino Linotype" w:cs="Arial"/>
        </w:rPr>
        <w:t>El</w:t>
      </w:r>
      <w:r w:rsidR="00D730A4" w:rsidRPr="00AA4D94">
        <w:rPr>
          <w:rFonts w:ascii="Palatino Linotype" w:hAnsi="Palatino Linotype" w:cs="Arial"/>
        </w:rPr>
        <w:t xml:space="preserve"> </w:t>
      </w:r>
      <w:r w:rsidRPr="00AA4D94">
        <w:rPr>
          <w:rFonts w:ascii="Palatino Linotype" w:hAnsi="Palatino Linotype" w:cs="Arial"/>
        </w:rPr>
        <w:t>recurso</w:t>
      </w:r>
      <w:r w:rsidR="00D730A4" w:rsidRPr="00AA4D94">
        <w:rPr>
          <w:rFonts w:ascii="Palatino Linotype" w:hAnsi="Palatino Linotype" w:cs="Arial"/>
        </w:rPr>
        <w:t xml:space="preserve"> </w:t>
      </w:r>
      <w:r w:rsidRPr="00AA4D94">
        <w:rPr>
          <w:rFonts w:ascii="Palatino Linotype" w:hAnsi="Palatino Linotype" w:cs="Arial"/>
        </w:rPr>
        <w:t>de</w:t>
      </w:r>
      <w:r w:rsidR="00D730A4" w:rsidRPr="00AA4D94">
        <w:rPr>
          <w:rFonts w:ascii="Palatino Linotype" w:hAnsi="Palatino Linotype" w:cs="Arial"/>
        </w:rPr>
        <w:t xml:space="preserve"> </w:t>
      </w:r>
      <w:r w:rsidRPr="00AA4D94">
        <w:rPr>
          <w:rFonts w:ascii="Palatino Linotype" w:hAnsi="Palatino Linotype" w:cs="Arial"/>
        </w:rPr>
        <w:t>revisión</w:t>
      </w:r>
      <w:r w:rsidR="00D730A4" w:rsidRPr="00AA4D94">
        <w:rPr>
          <w:rFonts w:ascii="Palatino Linotype" w:hAnsi="Palatino Linotype" w:cs="Arial"/>
        </w:rPr>
        <w:t xml:space="preserve"> </w:t>
      </w:r>
      <w:r w:rsidRPr="00AA4D94">
        <w:rPr>
          <w:rFonts w:ascii="Palatino Linotype" w:hAnsi="Palatino Linotype" w:cs="Arial"/>
        </w:rPr>
        <w:t>fue</w:t>
      </w:r>
      <w:r w:rsidR="00D730A4" w:rsidRPr="00AA4D94">
        <w:rPr>
          <w:rFonts w:ascii="Palatino Linotype" w:hAnsi="Palatino Linotype" w:cs="Arial"/>
        </w:rPr>
        <w:t xml:space="preserve"> </w:t>
      </w:r>
      <w:r w:rsidRPr="00AA4D94">
        <w:rPr>
          <w:rFonts w:ascii="Palatino Linotype" w:hAnsi="Palatino Linotype"/>
        </w:rPr>
        <w:t>interpuesto</w:t>
      </w:r>
      <w:r w:rsidR="00D730A4" w:rsidRPr="00AA4D94">
        <w:rPr>
          <w:rFonts w:ascii="Palatino Linotype" w:hAnsi="Palatino Linotype" w:cs="Arial"/>
        </w:rPr>
        <w:t xml:space="preserve"> </w:t>
      </w:r>
      <w:r w:rsidRPr="00AA4D94">
        <w:rPr>
          <w:rFonts w:ascii="Palatino Linotype" w:hAnsi="Palatino Linotype" w:cs="Arial"/>
        </w:rPr>
        <w:t>por</w:t>
      </w:r>
      <w:r w:rsidR="00D730A4" w:rsidRPr="00AA4D94">
        <w:rPr>
          <w:rFonts w:ascii="Palatino Linotype" w:hAnsi="Palatino Linotype" w:cs="Arial"/>
        </w:rPr>
        <w:t xml:space="preserve"> </w:t>
      </w:r>
      <w:r w:rsidRPr="00AA4D94">
        <w:rPr>
          <w:rFonts w:ascii="Palatino Linotype" w:hAnsi="Palatino Linotype" w:cs="Arial"/>
        </w:rPr>
        <w:t>parte</w:t>
      </w:r>
      <w:r w:rsidR="00D730A4" w:rsidRPr="00AA4D94">
        <w:rPr>
          <w:rFonts w:ascii="Palatino Linotype" w:hAnsi="Palatino Linotype" w:cs="Arial"/>
        </w:rPr>
        <w:t xml:space="preserve"> </w:t>
      </w:r>
      <w:r w:rsidRPr="00AA4D94">
        <w:rPr>
          <w:rFonts w:ascii="Palatino Linotype" w:hAnsi="Palatino Linotype" w:cs="Arial"/>
        </w:rPr>
        <w:t>legítima</w:t>
      </w:r>
      <w:r w:rsidR="00D730A4" w:rsidRPr="00AA4D94">
        <w:rPr>
          <w:rFonts w:ascii="Palatino Linotype" w:hAnsi="Palatino Linotype" w:cs="Arial"/>
        </w:rPr>
        <w:t xml:space="preserve"> </w:t>
      </w:r>
      <w:r w:rsidRPr="00AA4D94">
        <w:rPr>
          <w:rFonts w:ascii="Palatino Linotype" w:hAnsi="Palatino Linotype" w:cs="Arial"/>
        </w:rPr>
        <w:t>en</w:t>
      </w:r>
      <w:r w:rsidR="00D730A4" w:rsidRPr="00AA4D94">
        <w:rPr>
          <w:rFonts w:ascii="Palatino Linotype" w:hAnsi="Palatino Linotype" w:cs="Arial"/>
        </w:rPr>
        <w:t xml:space="preserve"> </w:t>
      </w:r>
      <w:r w:rsidRPr="00AA4D94">
        <w:rPr>
          <w:rFonts w:ascii="Palatino Linotype" w:hAnsi="Palatino Linotype" w:cs="Arial"/>
        </w:rPr>
        <w:t>atención</w:t>
      </w:r>
      <w:r w:rsidR="00D730A4" w:rsidRPr="00AA4D94">
        <w:rPr>
          <w:rFonts w:ascii="Palatino Linotype" w:hAnsi="Palatino Linotype" w:cs="Arial"/>
        </w:rPr>
        <w:t xml:space="preserve"> </w:t>
      </w:r>
      <w:r w:rsidRPr="00AA4D94">
        <w:rPr>
          <w:rFonts w:ascii="Palatino Linotype" w:hAnsi="Palatino Linotype" w:cs="Arial"/>
        </w:rPr>
        <w:t>a</w:t>
      </w:r>
      <w:r w:rsidR="00D730A4" w:rsidRPr="00AA4D94">
        <w:rPr>
          <w:rFonts w:ascii="Palatino Linotype" w:hAnsi="Palatino Linotype" w:cs="Arial"/>
        </w:rPr>
        <w:t xml:space="preserve"> </w:t>
      </w:r>
      <w:r w:rsidRPr="00AA4D94">
        <w:rPr>
          <w:rFonts w:ascii="Palatino Linotype" w:hAnsi="Palatino Linotype" w:cs="Arial"/>
        </w:rPr>
        <w:t>que</w:t>
      </w:r>
      <w:r w:rsidR="00D730A4" w:rsidRPr="00AA4D94">
        <w:rPr>
          <w:rFonts w:ascii="Palatino Linotype" w:hAnsi="Palatino Linotype" w:cs="Arial"/>
        </w:rPr>
        <w:t xml:space="preserve"> </w:t>
      </w:r>
      <w:r w:rsidRPr="00AA4D94">
        <w:rPr>
          <w:rFonts w:ascii="Palatino Linotype" w:hAnsi="Palatino Linotype" w:cs="Arial"/>
        </w:rPr>
        <w:t>fue</w:t>
      </w:r>
      <w:r w:rsidR="00D730A4" w:rsidRPr="00AA4D94">
        <w:rPr>
          <w:rFonts w:ascii="Palatino Linotype" w:hAnsi="Palatino Linotype" w:cs="Arial"/>
        </w:rPr>
        <w:t xml:space="preserve"> </w:t>
      </w:r>
      <w:r w:rsidRPr="00AA4D94">
        <w:rPr>
          <w:rFonts w:ascii="Palatino Linotype" w:hAnsi="Palatino Linotype"/>
        </w:rPr>
        <w:t>presentado</w:t>
      </w:r>
      <w:r w:rsidR="00D730A4" w:rsidRPr="00AA4D94">
        <w:rPr>
          <w:rFonts w:ascii="Palatino Linotype" w:hAnsi="Palatino Linotype" w:cs="Arial"/>
        </w:rPr>
        <w:t xml:space="preserve"> </w:t>
      </w:r>
      <w:r w:rsidRPr="00AA4D94">
        <w:rPr>
          <w:rFonts w:ascii="Palatino Linotype" w:hAnsi="Palatino Linotype" w:cs="Arial"/>
        </w:rPr>
        <w:t>por</w:t>
      </w:r>
      <w:r w:rsidR="00D730A4" w:rsidRPr="00AA4D94">
        <w:rPr>
          <w:rFonts w:ascii="Palatino Linotype" w:hAnsi="Palatino Linotype" w:cs="Arial"/>
        </w:rPr>
        <w:t xml:space="preserve"> </w:t>
      </w:r>
      <w:r w:rsidR="00404B4E" w:rsidRPr="00AA4D94">
        <w:rPr>
          <w:rFonts w:ascii="Palatino Linotype" w:hAnsi="Palatino Linotype" w:cs="Arial"/>
          <w:b/>
        </w:rPr>
        <w:t>LA RECURRENTE</w:t>
      </w:r>
      <w:r w:rsidRPr="00AA4D94">
        <w:rPr>
          <w:rFonts w:ascii="Palatino Linotype" w:hAnsi="Palatino Linotype" w:cs="Arial"/>
          <w:snapToGrid w:val="0"/>
        </w:rPr>
        <w:t>,</w:t>
      </w:r>
      <w:r w:rsidR="00D730A4" w:rsidRPr="00AA4D94">
        <w:rPr>
          <w:rFonts w:ascii="Palatino Linotype" w:hAnsi="Palatino Linotype" w:cs="Arial"/>
          <w:snapToGrid w:val="0"/>
        </w:rPr>
        <w:t xml:space="preserve"> </w:t>
      </w:r>
      <w:r w:rsidRPr="00AA4D94">
        <w:rPr>
          <w:rFonts w:ascii="Palatino Linotype" w:hAnsi="Palatino Linotype" w:cs="Arial"/>
        </w:rPr>
        <w:t>quien</w:t>
      </w:r>
      <w:r w:rsidR="00D730A4" w:rsidRPr="00AA4D94">
        <w:rPr>
          <w:rFonts w:ascii="Palatino Linotype" w:hAnsi="Palatino Linotype" w:cs="Arial"/>
          <w:snapToGrid w:val="0"/>
        </w:rPr>
        <w:t xml:space="preserve"> </w:t>
      </w:r>
      <w:r w:rsidRPr="00AA4D94">
        <w:rPr>
          <w:rFonts w:ascii="Palatino Linotype" w:hAnsi="Palatino Linotype"/>
        </w:rPr>
        <w:t>formuló</w:t>
      </w:r>
      <w:r w:rsidR="00D730A4" w:rsidRPr="00AA4D94">
        <w:rPr>
          <w:rFonts w:ascii="Palatino Linotype" w:hAnsi="Palatino Linotype" w:cs="Arial"/>
          <w:snapToGrid w:val="0"/>
        </w:rPr>
        <w:t xml:space="preserve"> </w:t>
      </w:r>
      <w:r w:rsidRPr="00AA4D94">
        <w:rPr>
          <w:rFonts w:ascii="Palatino Linotype" w:hAnsi="Palatino Linotype"/>
        </w:rPr>
        <w:t>la</w:t>
      </w:r>
      <w:r w:rsidR="00D730A4" w:rsidRPr="00AA4D94">
        <w:rPr>
          <w:rFonts w:ascii="Palatino Linotype" w:hAnsi="Palatino Linotype" w:cs="Arial"/>
          <w:snapToGrid w:val="0"/>
        </w:rPr>
        <w:t xml:space="preserve"> </w:t>
      </w:r>
      <w:r w:rsidRPr="00AA4D94">
        <w:rPr>
          <w:rFonts w:ascii="Palatino Linotype" w:hAnsi="Palatino Linotype" w:cs="Arial"/>
        </w:rPr>
        <w:t>solicitud</w:t>
      </w:r>
      <w:r w:rsidR="00D730A4" w:rsidRPr="00AA4D94">
        <w:rPr>
          <w:rFonts w:ascii="Palatino Linotype" w:hAnsi="Palatino Linotype" w:cs="Arial"/>
          <w:snapToGrid w:val="0"/>
        </w:rPr>
        <w:t xml:space="preserve"> </w:t>
      </w:r>
      <w:r w:rsidRPr="00AA4D94">
        <w:rPr>
          <w:rFonts w:ascii="Palatino Linotype" w:hAnsi="Palatino Linotype" w:cs="Arial"/>
          <w:snapToGrid w:val="0"/>
        </w:rPr>
        <w:t>de</w:t>
      </w:r>
      <w:r w:rsidR="00D730A4" w:rsidRPr="00AA4D94">
        <w:rPr>
          <w:rFonts w:ascii="Palatino Linotype" w:hAnsi="Palatino Linotype" w:cs="Arial"/>
          <w:snapToGrid w:val="0"/>
        </w:rPr>
        <w:t xml:space="preserve"> </w:t>
      </w:r>
      <w:r w:rsidRPr="00AA4D94">
        <w:rPr>
          <w:rFonts w:ascii="Palatino Linotype" w:hAnsi="Palatino Linotype" w:cs="Arial"/>
          <w:snapToGrid w:val="0"/>
        </w:rPr>
        <w:t>información</w:t>
      </w:r>
      <w:r w:rsidR="00D730A4" w:rsidRPr="00AA4D94">
        <w:rPr>
          <w:rFonts w:ascii="Palatino Linotype" w:hAnsi="Palatino Linotype" w:cs="Arial"/>
          <w:snapToGrid w:val="0"/>
        </w:rPr>
        <w:t xml:space="preserve"> </w:t>
      </w:r>
      <w:r w:rsidRPr="00AA4D94">
        <w:rPr>
          <w:rFonts w:ascii="Palatino Linotype" w:hAnsi="Palatino Linotype" w:cs="Arial"/>
          <w:snapToGrid w:val="0"/>
        </w:rPr>
        <w:t>pública</w:t>
      </w:r>
      <w:r w:rsidR="00D730A4" w:rsidRPr="00AA4D94">
        <w:rPr>
          <w:rFonts w:ascii="Palatino Linotype" w:hAnsi="Palatino Linotype" w:cs="Arial"/>
          <w:snapToGrid w:val="0"/>
        </w:rPr>
        <w:t xml:space="preserve"> </w:t>
      </w:r>
      <w:r w:rsidRPr="00AA4D94">
        <w:rPr>
          <w:rFonts w:ascii="Palatino Linotype" w:hAnsi="Palatino Linotype"/>
        </w:rPr>
        <w:t>número</w:t>
      </w:r>
      <w:r w:rsidR="00D730A4" w:rsidRPr="00AA4D94">
        <w:rPr>
          <w:rFonts w:ascii="Palatino Linotype" w:hAnsi="Palatino Linotype" w:cs="Arial"/>
          <w:snapToGrid w:val="0"/>
        </w:rPr>
        <w:t xml:space="preserve"> </w:t>
      </w:r>
      <w:r w:rsidR="004E6868" w:rsidRPr="00AA4D94">
        <w:rPr>
          <w:rFonts w:ascii="Palatino Linotype" w:hAnsi="Palatino Linotype"/>
          <w:b/>
          <w:bCs/>
        </w:rPr>
        <w:t>00028/DONAGUER/IP/2018</w:t>
      </w:r>
      <w:r w:rsidRPr="00AA4D94">
        <w:rPr>
          <w:rFonts w:ascii="Palatino Linotype" w:hAnsi="Palatino Linotype" w:cs="Arial"/>
          <w:lang w:val="es-ES_tradnl"/>
        </w:rPr>
        <w:t>.</w:t>
      </w:r>
    </w:p>
    <w:p w:rsidR="00E61FDC" w:rsidRPr="00AA4D94" w:rsidRDefault="0025573E" w:rsidP="00E61FDC">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A4D94">
        <w:rPr>
          <w:rFonts w:ascii="Palatino Linotype" w:hAnsi="Palatino Linotype" w:cs="Arial"/>
          <w:b/>
        </w:rPr>
        <w:t>Oportunidad.</w:t>
      </w:r>
      <w:r w:rsidR="00B97822" w:rsidRPr="00AA4D94">
        <w:rPr>
          <w:rFonts w:ascii="Palatino Linotype" w:hAnsi="Palatino Linotype" w:cs="Arial"/>
          <w:b/>
        </w:rPr>
        <w:t xml:space="preserve"> </w:t>
      </w:r>
      <w:r w:rsidR="00E61FDC" w:rsidRPr="00AA4D94">
        <w:rPr>
          <w:rFonts w:ascii="Palatino Linotype" w:hAnsi="Palatino Linotype" w:cs="Arial"/>
        </w:rPr>
        <w:t xml:space="preserve">Es de precisar que la Ley de Transparencia y Acceso a la Información Pública </w:t>
      </w:r>
      <w:r w:rsidR="00E61FDC" w:rsidRPr="00AA4D94">
        <w:rPr>
          <w:rFonts w:ascii="Palatino Linotype" w:hAnsi="Palatino Linotype"/>
        </w:rPr>
        <w:t>del</w:t>
      </w:r>
      <w:r w:rsidR="00E61FDC" w:rsidRPr="00AA4D94">
        <w:rPr>
          <w:rFonts w:ascii="Palatino Linotype" w:hAnsi="Palatino Linotype" w:cs="Arial"/>
        </w:rPr>
        <w:t xml:space="preserve"> Estado de México y </w:t>
      </w:r>
      <w:r w:rsidR="00E61FDC" w:rsidRPr="00AA4D94">
        <w:rPr>
          <w:rFonts w:ascii="Palatino Linotype" w:hAnsi="Palatino Linotype"/>
        </w:rPr>
        <w:t>Municipios</w:t>
      </w:r>
      <w:r w:rsidR="00E61FDC" w:rsidRPr="00AA4D94">
        <w:rPr>
          <w:rFonts w:ascii="Palatino Linotype" w:hAnsi="Palatino Linotype" w:cs="Arial"/>
        </w:rPr>
        <w:t>, describe el mecanismo de procedencia de los recursos de revisión, en ese sentido en su artículo 163 se indica lo siguiente:</w:t>
      </w:r>
    </w:p>
    <w:p w:rsidR="00E61FDC" w:rsidRPr="00AA4D94" w:rsidRDefault="00E61FDC" w:rsidP="00E61FDC">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lastRenderedPageBreak/>
        <w:t>“</w:t>
      </w:r>
      <w:r w:rsidRPr="00AA4D94">
        <w:rPr>
          <w:rFonts w:ascii="Palatino Linotype" w:hAnsi="Palatino Linotype" w:cs="Arial"/>
          <w:b/>
          <w:i/>
          <w:sz w:val="22"/>
          <w:szCs w:val="22"/>
        </w:rPr>
        <w:t xml:space="preserve">Artículo 163. La Unidad de Transparencia deberá notificar la respuesta a la solicitud al interesado en el menor tiempo posible, </w:t>
      </w:r>
      <w:r w:rsidRPr="00AA4D94">
        <w:rPr>
          <w:rFonts w:ascii="Palatino Linotype" w:hAnsi="Palatino Linotype" w:cs="Arial"/>
          <w:b/>
          <w:i/>
          <w:sz w:val="22"/>
          <w:szCs w:val="22"/>
          <w:u w:val="single"/>
        </w:rPr>
        <w:t>que no podrá exceder de quince días hábiles</w:t>
      </w:r>
      <w:r w:rsidRPr="00AA4D94">
        <w:rPr>
          <w:rFonts w:ascii="Palatino Linotype" w:hAnsi="Palatino Linotype" w:cs="Arial"/>
          <w:i/>
          <w:sz w:val="22"/>
          <w:szCs w:val="22"/>
        </w:rPr>
        <w:t>, contados a partir del día siguiente a la presentación de aquélla.</w:t>
      </w:r>
    </w:p>
    <w:p w:rsidR="00E61FDC" w:rsidRPr="00AA4D94" w:rsidRDefault="00E61FDC" w:rsidP="00E61FDC">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lang w:eastAsia="es-MX"/>
        </w:rPr>
        <w:t>Excepcionalmente</w:t>
      </w:r>
      <w:r w:rsidRPr="00AA4D94">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E61FDC" w:rsidRPr="00AA4D94" w:rsidRDefault="00E61FDC" w:rsidP="00E61FDC">
      <w:pPr>
        <w:spacing w:before="200" w:after="200"/>
        <w:ind w:left="709" w:right="709"/>
        <w:jc w:val="both"/>
        <w:rPr>
          <w:rFonts w:ascii="Palatino Linotype" w:hAnsi="Palatino Linotype" w:cs="Arial"/>
          <w:sz w:val="22"/>
          <w:szCs w:val="22"/>
          <w:lang w:eastAsia="es-MX"/>
        </w:rPr>
      </w:pPr>
      <w:r w:rsidRPr="00AA4D94">
        <w:rPr>
          <w:rFonts w:ascii="Palatino Linotype" w:hAnsi="Palatino Linotype" w:cs="Arial"/>
          <w:sz w:val="22"/>
          <w:szCs w:val="22"/>
          <w:lang w:eastAsia="es-MX"/>
        </w:rPr>
        <w:t>(Énfasis añadido)</w:t>
      </w:r>
    </w:p>
    <w:p w:rsidR="00E61FDC" w:rsidRPr="00AA4D94" w:rsidRDefault="00E61FDC" w:rsidP="00E61FD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De la interpretación </w:t>
      </w:r>
      <w:r w:rsidRPr="00AA4D94">
        <w:rPr>
          <w:rFonts w:ascii="Palatino Linotype" w:hAnsi="Palatino Linotype"/>
        </w:rPr>
        <w:t>al</w:t>
      </w:r>
      <w:r w:rsidRPr="00AA4D94">
        <w:rPr>
          <w:rFonts w:ascii="Palatino Linotype" w:hAnsi="Palatino Linotype" w:cs="Arial"/>
        </w:rPr>
        <w:t xml:space="preserve"> precepto legal inserto, se advierte que el plazo que les asiste a los Sujetos Obligados para notificar la respuesta a una solicitud de información pública, es de quince días hábiles posteriores a la presentación de ésta.</w:t>
      </w:r>
    </w:p>
    <w:p w:rsidR="00E61FDC" w:rsidRPr="00AA4D94" w:rsidRDefault="00E61FDC" w:rsidP="005E0E9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w:t>
      </w:r>
      <w:r w:rsidRPr="00AA4D94">
        <w:rPr>
          <w:rFonts w:ascii="Palatino Linotype" w:hAnsi="Palatino Linotype"/>
        </w:rPr>
        <w:t>debe</w:t>
      </w:r>
      <w:r w:rsidRPr="00AA4D94">
        <w:rPr>
          <w:rFonts w:ascii="Palatino Linotype" w:hAnsi="Palatino Linotype" w:cs="Arial"/>
        </w:rPr>
        <w:t xml:space="preserve"> considerarse como negada; por lo que</w:t>
      </w:r>
      <w:r w:rsidR="00404B4E" w:rsidRPr="00AA4D94">
        <w:rPr>
          <w:rFonts w:ascii="Palatino Linotype" w:hAnsi="Palatino Linotype" w:cs="Arial"/>
        </w:rPr>
        <w:t>,</w:t>
      </w:r>
      <w:r w:rsidRPr="00AA4D94">
        <w:rPr>
          <w:rFonts w:ascii="Palatino Linotype" w:hAnsi="Palatino Linotype" w:cs="Arial"/>
        </w:rPr>
        <w:t xml:space="preserve"> al solicitante le asiste el derecho para poder presentar el recurso de revisión correspondiente.</w:t>
      </w:r>
    </w:p>
    <w:p w:rsidR="00E61FDC" w:rsidRPr="00AA4D94" w:rsidRDefault="00E61FDC" w:rsidP="005E0E9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Derivado de lo anterior, se constituye la figura jurídica de la </w:t>
      </w:r>
      <w:r w:rsidRPr="00AA4D94">
        <w:rPr>
          <w:rFonts w:ascii="Palatino Linotype" w:hAnsi="Palatino Linotype" w:cs="Arial"/>
          <w:b/>
        </w:rPr>
        <w:t>NEGATIVA FICTA</w:t>
      </w:r>
      <w:r w:rsidRPr="00AA4D94">
        <w:rPr>
          <w:rFonts w:ascii="Palatino Linotype" w:hAnsi="Palatino Linotype" w:cs="Arial"/>
        </w:rPr>
        <w:t>, cuya esencia consiste en atr</w:t>
      </w:r>
      <w:r w:rsidRPr="00AA4D94">
        <w:rPr>
          <w:rFonts w:ascii="Palatino Linotype" w:hAnsi="Palatino Linotype"/>
        </w:rPr>
        <w:t>i</w:t>
      </w:r>
      <w:r w:rsidRPr="00AA4D94">
        <w:rPr>
          <w:rFonts w:ascii="Palatino Linotype" w:hAnsi="Palatino Linotype" w:cs="Arial"/>
        </w:rPr>
        <w:t>buir un efecto negativo al silencio de la autoridad administrativa frente a las instancias y solicitudes que hagan los particulares.</w:t>
      </w:r>
    </w:p>
    <w:p w:rsidR="00E61FDC" w:rsidRPr="00AA4D94" w:rsidRDefault="00E61FDC" w:rsidP="005E0E9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Por su parte, el artículo 178 de la Ley de Transparencia y Acceso a la Información Pública del Estado </w:t>
      </w:r>
      <w:r w:rsidRPr="00AA4D94">
        <w:rPr>
          <w:rFonts w:ascii="Palatino Linotype" w:hAnsi="Palatino Linotype"/>
        </w:rPr>
        <w:t>de</w:t>
      </w:r>
      <w:r w:rsidRPr="00AA4D94">
        <w:rPr>
          <w:rFonts w:ascii="Palatino Linotype" w:hAnsi="Palatino Linotype" w:cs="Arial"/>
        </w:rPr>
        <w:t xml:space="preserve"> México y Municipios, establece:</w:t>
      </w:r>
    </w:p>
    <w:p w:rsidR="00E61FDC" w:rsidRPr="00AA4D94" w:rsidRDefault="00E61FDC" w:rsidP="00F74D9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 xml:space="preserve">Artículo 178. </w:t>
      </w:r>
      <w:r w:rsidRPr="00AA4D94">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61FDC" w:rsidRPr="00AA4D94" w:rsidRDefault="00E61FDC" w:rsidP="00F74D92">
      <w:pPr>
        <w:spacing w:before="200" w:after="200"/>
        <w:ind w:left="709" w:right="709"/>
        <w:jc w:val="both"/>
        <w:rPr>
          <w:rFonts w:ascii="Palatino Linotype" w:hAnsi="Palatino Linotype" w:cs="Arial"/>
          <w:i/>
          <w:sz w:val="22"/>
          <w:szCs w:val="22"/>
        </w:rPr>
      </w:pPr>
      <w:r w:rsidRPr="00AA4D94">
        <w:rPr>
          <w:rFonts w:ascii="Palatino Linotype" w:hAnsi="Palatino Linotype" w:cs="Arial"/>
          <w:b/>
          <w:i/>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AA4D94">
        <w:rPr>
          <w:rFonts w:ascii="Palatino Linotype" w:hAnsi="Palatino Linotype" w:cs="Arial"/>
          <w:i/>
          <w:sz w:val="22"/>
          <w:szCs w:val="22"/>
        </w:rPr>
        <w:t>, acompañado con el documento que pruebe la fecha en que presentó la solicitud.</w:t>
      </w:r>
    </w:p>
    <w:p w:rsidR="00E61FDC" w:rsidRPr="00AA4D94" w:rsidRDefault="00E61FDC" w:rsidP="00F74D9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E61FDC" w:rsidRPr="00AA4D94" w:rsidRDefault="00E61FDC" w:rsidP="00F74D92">
      <w:pPr>
        <w:spacing w:before="200" w:after="200"/>
        <w:ind w:left="709" w:right="709"/>
        <w:jc w:val="both"/>
        <w:rPr>
          <w:rFonts w:ascii="Palatino Linotype" w:hAnsi="Palatino Linotype" w:cs="Arial"/>
          <w:sz w:val="22"/>
          <w:szCs w:val="22"/>
        </w:rPr>
      </w:pPr>
      <w:r w:rsidRPr="00AA4D94">
        <w:rPr>
          <w:rFonts w:ascii="Palatino Linotype" w:hAnsi="Palatino Linotype" w:cs="Arial"/>
          <w:sz w:val="22"/>
          <w:szCs w:val="22"/>
          <w:lang w:eastAsia="es-MX"/>
        </w:rPr>
        <w:t>(Énfasis añadido)</w:t>
      </w:r>
    </w:p>
    <w:p w:rsidR="00E61FDC" w:rsidRPr="00AA4D94" w:rsidRDefault="00E61FDC" w:rsidP="00FD53F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Es así que, los recursos de revisión se han de interponer dentro del plazo de quince días hábiles, contados a </w:t>
      </w:r>
      <w:r w:rsidRPr="00AA4D94">
        <w:rPr>
          <w:rFonts w:ascii="Palatino Linotype" w:hAnsi="Palatino Linotype"/>
        </w:rPr>
        <w:t>partir</w:t>
      </w:r>
      <w:r w:rsidRPr="00AA4D94">
        <w:rPr>
          <w:rFonts w:ascii="Palatino Linotype" w:hAnsi="Palatino Linotype" w:cs="Arial"/>
        </w:rPr>
        <w:t xml:space="preserve"> del día siguiente al de aquel, en que el particular tuvo conocimiento de la resolución respectiva; sin embargo, tratándose de una negativa ficta, evidentemente no existieron respuestas a las solicitudes de información por parte del </w:t>
      </w:r>
      <w:r w:rsidRPr="00AA4D94">
        <w:rPr>
          <w:rFonts w:ascii="Palatino Linotype" w:hAnsi="Palatino Linotype" w:cs="Arial"/>
          <w:b/>
        </w:rPr>
        <w:t>SUJETO OBLIGADO</w:t>
      </w:r>
      <w:r w:rsidRPr="00AA4D94">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AA4D94">
        <w:rPr>
          <w:rFonts w:ascii="Palatino Linotype" w:hAnsi="Palatino Linotype" w:cs="Arial"/>
          <w:b/>
          <w:u w:val="single"/>
        </w:rPr>
        <w:t>en cualquier momento</w:t>
      </w:r>
      <w:r w:rsidRPr="00AA4D94">
        <w:rPr>
          <w:rFonts w:ascii="Palatino Linotype" w:hAnsi="Palatino Linotype" w:cs="Arial"/>
        </w:rPr>
        <w:t>. Por lo que la interposición de los presentes recursos de revisión resulta oportuna.</w:t>
      </w:r>
    </w:p>
    <w:p w:rsidR="00CC5F72" w:rsidRPr="00AA4D94" w:rsidRDefault="00E80488" w:rsidP="00CC5F72">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AA4D94">
        <w:rPr>
          <w:rFonts w:ascii="Palatino Linotype" w:hAnsi="Palatino Linotype" w:cs="Arial"/>
          <w:b/>
          <w:szCs w:val="28"/>
        </w:rPr>
        <w:t>Procedibilidad.</w:t>
      </w:r>
      <w:r w:rsidR="007879C7" w:rsidRPr="00AA4D94">
        <w:rPr>
          <w:rFonts w:ascii="Palatino Linotype" w:hAnsi="Palatino Linotype" w:cs="Arial"/>
        </w:rPr>
        <w:t xml:space="preserve"> </w:t>
      </w:r>
      <w:r w:rsidR="00CC5F72" w:rsidRPr="00AA4D94">
        <w:rPr>
          <w:rFonts w:ascii="Palatino Linotype" w:hAnsi="Palatino Linotype" w:cs="Arial"/>
        </w:rPr>
        <w:t xml:space="preserve">Esta Ponencia considera importante abordar el análisis de los requisitos de procedibilidad de los recursos de revisión, así el artículo 180, de la </w:t>
      </w:r>
      <w:r w:rsidR="00CC5F72" w:rsidRPr="00AA4D94">
        <w:rPr>
          <w:rFonts w:ascii="Palatino Linotype" w:hAnsi="Palatino Linotype" w:cs="Arial"/>
          <w:lang w:eastAsia="es-MX"/>
        </w:rPr>
        <w:t xml:space="preserve">Ley de Transparencia y Acceso a la </w:t>
      </w:r>
      <w:r w:rsidR="00CC5F72" w:rsidRPr="00AA4D94">
        <w:rPr>
          <w:rFonts w:ascii="Palatino Linotype" w:hAnsi="Palatino Linotype" w:cs="Arial"/>
        </w:rPr>
        <w:t>Información</w:t>
      </w:r>
      <w:r w:rsidR="00CC5F72" w:rsidRPr="00AA4D94">
        <w:rPr>
          <w:rFonts w:ascii="Palatino Linotype" w:hAnsi="Palatino Linotype" w:cs="Arial"/>
          <w:lang w:eastAsia="es-MX"/>
        </w:rPr>
        <w:t xml:space="preserve"> Pública del Estado de México y Municipios, que </w:t>
      </w:r>
      <w:r w:rsidR="00CC5F72" w:rsidRPr="00AA4D94">
        <w:rPr>
          <w:rFonts w:ascii="Palatino Linotype" w:hAnsi="Palatino Linotype" w:cs="Arial"/>
        </w:rPr>
        <w:t>establece lo siguiente:</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i/>
          <w:sz w:val="22"/>
          <w:szCs w:val="22"/>
        </w:rPr>
        <w:t>“</w:t>
      </w:r>
      <w:r w:rsidRPr="00AA4D94">
        <w:rPr>
          <w:rFonts w:ascii="Palatino Linotype" w:hAnsi="Palatino Linotype"/>
          <w:b/>
          <w:i/>
          <w:sz w:val="22"/>
          <w:szCs w:val="22"/>
        </w:rPr>
        <w:t xml:space="preserve">Artículo 180. </w:t>
      </w:r>
      <w:r w:rsidRPr="00AA4D94">
        <w:rPr>
          <w:rFonts w:ascii="Palatino Linotype" w:hAnsi="Palatino Linotype"/>
          <w:i/>
          <w:sz w:val="22"/>
          <w:szCs w:val="22"/>
        </w:rPr>
        <w:t xml:space="preserve">El </w:t>
      </w:r>
      <w:r w:rsidRPr="00AA4D94">
        <w:rPr>
          <w:rFonts w:ascii="Palatino Linotype" w:hAnsi="Palatino Linotype" w:cs="Arial"/>
          <w:i/>
          <w:sz w:val="22"/>
          <w:szCs w:val="22"/>
        </w:rPr>
        <w:t>recurso</w:t>
      </w:r>
      <w:r w:rsidRPr="00AA4D94">
        <w:rPr>
          <w:rFonts w:ascii="Palatino Linotype" w:hAnsi="Palatino Linotype"/>
          <w:i/>
          <w:sz w:val="22"/>
          <w:szCs w:val="22"/>
        </w:rPr>
        <w:t xml:space="preserve"> </w:t>
      </w:r>
      <w:r w:rsidRPr="00AA4D94">
        <w:rPr>
          <w:rFonts w:ascii="Palatino Linotype" w:hAnsi="Palatino Linotype" w:cs="Arial"/>
          <w:i/>
          <w:color w:val="222222"/>
          <w:sz w:val="22"/>
          <w:szCs w:val="22"/>
          <w:lang w:eastAsia="es-MX"/>
        </w:rPr>
        <w:t>de</w:t>
      </w:r>
      <w:r w:rsidRPr="00AA4D94">
        <w:rPr>
          <w:rFonts w:ascii="Palatino Linotype" w:hAnsi="Palatino Linotype"/>
          <w:i/>
          <w:sz w:val="22"/>
          <w:szCs w:val="22"/>
        </w:rPr>
        <w:t xml:space="preserve"> revisión contendrá:</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b/>
          <w:i/>
          <w:sz w:val="22"/>
          <w:szCs w:val="22"/>
        </w:rPr>
        <w:t xml:space="preserve">I. </w:t>
      </w:r>
      <w:r w:rsidRPr="00AA4D94">
        <w:rPr>
          <w:rFonts w:ascii="Palatino Linotype" w:hAnsi="Palatino Linotype"/>
          <w:i/>
          <w:sz w:val="22"/>
          <w:szCs w:val="22"/>
        </w:rPr>
        <w:t xml:space="preserve">El sujeto obligado ante </w:t>
      </w:r>
      <w:r w:rsidRPr="00AA4D94">
        <w:rPr>
          <w:rFonts w:ascii="Palatino Linotype" w:hAnsi="Palatino Linotype" w:cs="Arial"/>
          <w:i/>
          <w:sz w:val="22"/>
          <w:szCs w:val="22"/>
        </w:rPr>
        <w:t>la</w:t>
      </w:r>
      <w:r w:rsidRPr="00AA4D94">
        <w:rPr>
          <w:rFonts w:ascii="Palatino Linotype" w:hAnsi="Palatino Linotype"/>
          <w:i/>
          <w:sz w:val="22"/>
          <w:szCs w:val="22"/>
        </w:rPr>
        <w:t xml:space="preserve"> cual </w:t>
      </w:r>
      <w:r w:rsidRPr="00AA4D94">
        <w:rPr>
          <w:rFonts w:ascii="Palatino Linotype" w:hAnsi="Palatino Linotype" w:cs="Arial"/>
          <w:i/>
          <w:color w:val="222222"/>
          <w:sz w:val="22"/>
          <w:szCs w:val="22"/>
          <w:lang w:eastAsia="es-MX"/>
        </w:rPr>
        <w:t>se</w:t>
      </w:r>
      <w:r w:rsidRPr="00AA4D94">
        <w:rPr>
          <w:rFonts w:ascii="Palatino Linotype" w:hAnsi="Palatino Linotype"/>
          <w:i/>
          <w:sz w:val="22"/>
          <w:szCs w:val="22"/>
        </w:rPr>
        <w:t xml:space="preserve"> presentó la solicitud;</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b/>
          <w:i/>
          <w:sz w:val="22"/>
          <w:szCs w:val="22"/>
        </w:rPr>
        <w:t xml:space="preserve">II. </w:t>
      </w:r>
      <w:r w:rsidRPr="00AA4D94">
        <w:rPr>
          <w:rFonts w:ascii="Palatino Linotype" w:hAnsi="Palatino Linotype"/>
          <w:b/>
          <w:i/>
          <w:sz w:val="22"/>
          <w:szCs w:val="22"/>
          <w:u w:val="single"/>
        </w:rPr>
        <w:t xml:space="preserve">El nombre del solicitante </w:t>
      </w:r>
      <w:r w:rsidRPr="00AA4D94">
        <w:rPr>
          <w:rFonts w:ascii="Palatino Linotype" w:hAnsi="Palatino Linotype" w:cs="Arial"/>
          <w:b/>
          <w:i/>
          <w:color w:val="222222"/>
          <w:sz w:val="22"/>
          <w:szCs w:val="22"/>
          <w:u w:val="single"/>
          <w:lang w:eastAsia="es-MX"/>
        </w:rPr>
        <w:t>que</w:t>
      </w:r>
      <w:r w:rsidRPr="00AA4D94">
        <w:rPr>
          <w:rFonts w:ascii="Palatino Linotype" w:hAnsi="Palatino Linotype"/>
          <w:b/>
          <w:i/>
          <w:sz w:val="22"/>
          <w:szCs w:val="22"/>
          <w:u w:val="single"/>
        </w:rPr>
        <w:t xml:space="preserve"> recurre</w:t>
      </w:r>
      <w:r w:rsidRPr="00AA4D94">
        <w:rPr>
          <w:rFonts w:ascii="Palatino Linotype" w:hAnsi="Palatino Linotype"/>
          <w:b/>
          <w:i/>
          <w:sz w:val="22"/>
          <w:szCs w:val="22"/>
        </w:rPr>
        <w:t xml:space="preserve"> </w:t>
      </w:r>
      <w:r w:rsidRPr="00AA4D94">
        <w:rPr>
          <w:rFonts w:ascii="Palatino Linotype" w:hAnsi="Palatino Linotype"/>
          <w:i/>
          <w:sz w:val="22"/>
          <w:szCs w:val="22"/>
        </w:rPr>
        <w:t>o de su representante y, en su caso, del tercero interesado, así como la dirección o medio que señale para recibir notificaciones;</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b/>
          <w:i/>
          <w:sz w:val="22"/>
          <w:szCs w:val="22"/>
        </w:rPr>
        <w:t xml:space="preserve">III. </w:t>
      </w:r>
      <w:r w:rsidRPr="00AA4D94">
        <w:rPr>
          <w:rFonts w:ascii="Palatino Linotype" w:hAnsi="Palatino Linotype"/>
          <w:i/>
          <w:sz w:val="22"/>
          <w:szCs w:val="22"/>
        </w:rPr>
        <w:t xml:space="preserve">El número de folio de </w:t>
      </w:r>
      <w:r w:rsidRPr="00AA4D94">
        <w:rPr>
          <w:rFonts w:ascii="Palatino Linotype" w:hAnsi="Palatino Linotype" w:cs="Arial"/>
          <w:i/>
          <w:color w:val="222222"/>
          <w:sz w:val="22"/>
          <w:szCs w:val="22"/>
          <w:lang w:eastAsia="es-MX"/>
        </w:rPr>
        <w:t>respuesta</w:t>
      </w:r>
      <w:r w:rsidRPr="00AA4D94">
        <w:rPr>
          <w:rFonts w:ascii="Palatino Linotype" w:hAnsi="Palatino Linotype"/>
          <w:i/>
          <w:sz w:val="22"/>
          <w:szCs w:val="22"/>
        </w:rPr>
        <w:t xml:space="preserve"> de la solicitud de acceso;</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b/>
          <w:i/>
          <w:sz w:val="22"/>
          <w:szCs w:val="22"/>
        </w:rPr>
        <w:lastRenderedPageBreak/>
        <w:t xml:space="preserve">IV. </w:t>
      </w:r>
      <w:r w:rsidRPr="00AA4D94">
        <w:rPr>
          <w:rFonts w:ascii="Palatino Linotype" w:hAnsi="Palatino Linotype"/>
          <w:i/>
          <w:sz w:val="22"/>
          <w:szCs w:val="22"/>
        </w:rPr>
        <w:t xml:space="preserve">La fecha en que fue </w:t>
      </w:r>
      <w:r w:rsidRPr="00AA4D94">
        <w:rPr>
          <w:rFonts w:ascii="Palatino Linotype" w:hAnsi="Palatino Linotype" w:cs="Arial"/>
          <w:i/>
          <w:color w:val="222222"/>
          <w:sz w:val="22"/>
          <w:szCs w:val="22"/>
          <w:lang w:eastAsia="es-MX"/>
        </w:rPr>
        <w:t>notificada</w:t>
      </w:r>
      <w:r w:rsidRPr="00AA4D94">
        <w:rPr>
          <w:rFonts w:ascii="Palatino Linotype" w:hAnsi="Palatino Linotype"/>
          <w:i/>
          <w:sz w:val="22"/>
          <w:szCs w:val="22"/>
        </w:rPr>
        <w:t xml:space="preserve"> la respuesta al solicitante o tuvo conocimiento del acto reclamado, o de presentación de la solicitud, en caso de falta de respuesta;</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b/>
          <w:i/>
          <w:sz w:val="22"/>
          <w:szCs w:val="22"/>
        </w:rPr>
        <w:t xml:space="preserve">V. </w:t>
      </w:r>
      <w:r w:rsidRPr="00AA4D94">
        <w:rPr>
          <w:rFonts w:ascii="Palatino Linotype" w:hAnsi="Palatino Linotype"/>
          <w:i/>
          <w:sz w:val="22"/>
          <w:szCs w:val="22"/>
        </w:rPr>
        <w:t xml:space="preserve">El acto que se </w:t>
      </w:r>
      <w:r w:rsidRPr="00AA4D94">
        <w:rPr>
          <w:rFonts w:ascii="Palatino Linotype" w:hAnsi="Palatino Linotype" w:cs="Arial"/>
          <w:i/>
          <w:color w:val="222222"/>
          <w:sz w:val="22"/>
          <w:szCs w:val="22"/>
          <w:lang w:eastAsia="es-MX"/>
        </w:rPr>
        <w:t>recurre</w:t>
      </w:r>
      <w:r w:rsidRPr="00AA4D94">
        <w:rPr>
          <w:rFonts w:ascii="Palatino Linotype" w:hAnsi="Palatino Linotype"/>
          <w:i/>
          <w:sz w:val="22"/>
          <w:szCs w:val="22"/>
        </w:rPr>
        <w:t>;</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b/>
          <w:i/>
          <w:sz w:val="22"/>
          <w:szCs w:val="22"/>
        </w:rPr>
        <w:t xml:space="preserve">VI. </w:t>
      </w:r>
      <w:r w:rsidRPr="00AA4D94">
        <w:rPr>
          <w:rFonts w:ascii="Palatino Linotype" w:hAnsi="Palatino Linotype"/>
          <w:i/>
          <w:sz w:val="22"/>
          <w:szCs w:val="22"/>
        </w:rPr>
        <w:t xml:space="preserve">Las razones o </w:t>
      </w:r>
      <w:r w:rsidRPr="00AA4D94">
        <w:rPr>
          <w:rFonts w:ascii="Palatino Linotype" w:hAnsi="Palatino Linotype" w:cs="Arial"/>
          <w:i/>
          <w:color w:val="222222"/>
          <w:sz w:val="22"/>
          <w:szCs w:val="22"/>
          <w:lang w:eastAsia="es-MX"/>
        </w:rPr>
        <w:t>motivos</w:t>
      </w:r>
      <w:r w:rsidRPr="00AA4D94">
        <w:rPr>
          <w:rFonts w:ascii="Palatino Linotype" w:hAnsi="Palatino Linotype"/>
          <w:i/>
          <w:sz w:val="22"/>
          <w:szCs w:val="22"/>
        </w:rPr>
        <w:t xml:space="preserve"> de inconformidad;</w:t>
      </w:r>
    </w:p>
    <w:p w:rsidR="00CC5F72" w:rsidRPr="00AA4D94" w:rsidRDefault="00CC5F72" w:rsidP="00CC5F72">
      <w:pPr>
        <w:spacing w:before="220" w:after="200"/>
        <w:ind w:left="709" w:right="709"/>
        <w:jc w:val="both"/>
        <w:rPr>
          <w:rFonts w:ascii="Palatino Linotype" w:hAnsi="Palatino Linotype"/>
          <w:b/>
          <w:i/>
          <w:sz w:val="22"/>
          <w:szCs w:val="22"/>
        </w:rPr>
      </w:pPr>
      <w:r w:rsidRPr="00AA4D94">
        <w:rPr>
          <w:rFonts w:ascii="Palatino Linotype" w:hAnsi="Palatino Linotype"/>
          <w:b/>
          <w:i/>
          <w:sz w:val="22"/>
          <w:szCs w:val="22"/>
        </w:rPr>
        <w:t xml:space="preserve">VII. </w:t>
      </w:r>
      <w:r w:rsidRPr="00AA4D94">
        <w:rPr>
          <w:rFonts w:ascii="Palatino Linotype" w:hAnsi="Palatino Linotype"/>
          <w:i/>
          <w:sz w:val="22"/>
          <w:szCs w:val="22"/>
        </w:rPr>
        <w:t>La copia de la respuesta que se impugna y, en su caso, de la notificación correspondiente, en el caso de respuesta de la solicitud; y</w:t>
      </w:r>
    </w:p>
    <w:p w:rsidR="00CC5F72" w:rsidRPr="00AA4D94" w:rsidRDefault="00CC5F72" w:rsidP="00CC5F72">
      <w:pPr>
        <w:spacing w:before="220" w:after="200"/>
        <w:ind w:left="709" w:right="709"/>
        <w:jc w:val="both"/>
        <w:rPr>
          <w:rFonts w:ascii="Palatino Linotype" w:hAnsi="Palatino Linotype"/>
          <w:i/>
          <w:sz w:val="22"/>
          <w:szCs w:val="22"/>
        </w:rPr>
      </w:pPr>
      <w:r w:rsidRPr="00AA4D94">
        <w:rPr>
          <w:rFonts w:ascii="Palatino Linotype" w:hAnsi="Palatino Linotype"/>
          <w:b/>
          <w:i/>
          <w:sz w:val="22"/>
          <w:szCs w:val="22"/>
        </w:rPr>
        <w:t xml:space="preserve">VIII. </w:t>
      </w:r>
      <w:r w:rsidRPr="00AA4D94">
        <w:rPr>
          <w:rFonts w:ascii="Palatino Linotype" w:hAnsi="Palatino Linotype"/>
          <w:i/>
          <w:sz w:val="22"/>
          <w:szCs w:val="22"/>
        </w:rPr>
        <w:t>Firma del recurrente, en su caso, cuando se presente por escrito, requisito sin el cual se dará trámite al recurso.</w:t>
      </w:r>
    </w:p>
    <w:p w:rsidR="00CC5F72" w:rsidRPr="00AA4D94" w:rsidRDefault="00CC5F72" w:rsidP="00CC5F72">
      <w:pPr>
        <w:spacing w:before="220" w:after="200"/>
        <w:ind w:left="709" w:right="709"/>
        <w:jc w:val="both"/>
        <w:rPr>
          <w:rFonts w:ascii="Palatino Linotype" w:hAnsi="Palatino Linotype"/>
          <w:i/>
          <w:sz w:val="22"/>
          <w:szCs w:val="22"/>
        </w:rPr>
      </w:pPr>
      <w:r w:rsidRPr="00AA4D94">
        <w:rPr>
          <w:rFonts w:ascii="Palatino Linotype" w:hAnsi="Palatino Linotype"/>
          <w:i/>
          <w:sz w:val="22"/>
          <w:szCs w:val="22"/>
        </w:rPr>
        <w:t>Adicionalmente, se podrán anexar las pruebas y demás elementos que considere procedentes someter a juicio del Instituto.</w:t>
      </w:r>
    </w:p>
    <w:p w:rsidR="00CC5F72" w:rsidRPr="00AA4D94" w:rsidRDefault="00CC5F72" w:rsidP="00CC5F72">
      <w:pPr>
        <w:spacing w:before="220" w:after="200"/>
        <w:ind w:left="709" w:right="709"/>
        <w:jc w:val="both"/>
        <w:rPr>
          <w:rFonts w:ascii="Palatino Linotype" w:hAnsi="Palatino Linotype"/>
          <w:i/>
          <w:sz w:val="22"/>
          <w:szCs w:val="22"/>
        </w:rPr>
      </w:pPr>
      <w:r w:rsidRPr="00AA4D94">
        <w:rPr>
          <w:rFonts w:ascii="Palatino Linotype" w:hAnsi="Palatino Linotype"/>
          <w:i/>
          <w:sz w:val="22"/>
          <w:szCs w:val="22"/>
        </w:rPr>
        <w:t>En ningún caso será necesario que el particular ratifique el recurso de revisión interpuesto.</w:t>
      </w:r>
    </w:p>
    <w:p w:rsidR="00CC5F72" w:rsidRPr="00AA4D94" w:rsidRDefault="00CC5F72" w:rsidP="00CC5F72">
      <w:pPr>
        <w:spacing w:before="220" w:after="200"/>
        <w:ind w:left="709" w:right="709"/>
        <w:jc w:val="both"/>
        <w:rPr>
          <w:rFonts w:ascii="Palatino Linotype" w:hAnsi="Palatino Linotype"/>
          <w:i/>
          <w:sz w:val="22"/>
          <w:szCs w:val="22"/>
        </w:rPr>
      </w:pPr>
      <w:r w:rsidRPr="00AA4D94">
        <w:rPr>
          <w:rFonts w:ascii="Palatino Linotype" w:hAnsi="Palatino Linotype"/>
          <w:b/>
          <w:i/>
          <w:sz w:val="22"/>
          <w:szCs w:val="22"/>
          <w:u w:val="single"/>
        </w:rPr>
        <w:t xml:space="preserve">En caso de </w:t>
      </w:r>
      <w:r w:rsidRPr="00AA4D94">
        <w:rPr>
          <w:rFonts w:ascii="Palatino Linotype" w:hAnsi="Palatino Linotype" w:cs="Arial"/>
          <w:b/>
          <w:i/>
          <w:color w:val="222222"/>
          <w:sz w:val="22"/>
          <w:szCs w:val="22"/>
          <w:u w:val="single"/>
          <w:lang w:eastAsia="es-MX"/>
        </w:rPr>
        <w:t>que</w:t>
      </w:r>
      <w:r w:rsidRPr="00AA4D94">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AA4D94">
        <w:rPr>
          <w:rFonts w:ascii="Palatino Linotype" w:hAnsi="Palatino Linotype"/>
          <w:i/>
          <w:sz w:val="22"/>
          <w:szCs w:val="22"/>
        </w:rPr>
        <w:t>, IV, VII y VIII.”</w:t>
      </w:r>
    </w:p>
    <w:p w:rsidR="00CC5F72" w:rsidRPr="00AA4D94" w:rsidRDefault="00CC5F72" w:rsidP="00CC5F72">
      <w:pPr>
        <w:spacing w:before="220" w:after="20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CC5F72" w:rsidRPr="00AA4D94" w:rsidRDefault="00CC5F72" w:rsidP="00FD53F9">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AA4D94">
        <w:rPr>
          <w:rFonts w:ascii="Palatino Linotype" w:hAnsi="Palatino Linotype"/>
        </w:rPr>
        <w:t xml:space="preserve">En principio, de una interpretación del artículo transcrito se observan los requisitos que </w:t>
      </w:r>
      <w:r w:rsidRPr="00AA4D94">
        <w:rPr>
          <w:rFonts w:ascii="Palatino Linotype" w:hAnsi="Palatino Linotype" w:cs="Arial"/>
        </w:rPr>
        <w:t>deberán</w:t>
      </w:r>
      <w:r w:rsidRPr="00AA4D94">
        <w:rPr>
          <w:rFonts w:ascii="Palatino Linotype" w:hAnsi="Palatino Linotype"/>
        </w:rPr>
        <w:t xml:space="preserve"> contener los recursos de revisión; sobre el particular, de la revisión del expediente electrónico del </w:t>
      </w:r>
      <w:r w:rsidRPr="00AA4D94">
        <w:rPr>
          <w:rFonts w:ascii="Palatino Linotype" w:hAnsi="Palatino Linotype"/>
          <w:b/>
        </w:rPr>
        <w:t>SAIMEX</w:t>
      </w:r>
      <w:r w:rsidRPr="00AA4D94">
        <w:rPr>
          <w:rFonts w:ascii="Palatino Linotype" w:hAnsi="Palatino Linotype"/>
        </w:rPr>
        <w:t xml:space="preserve"> se desprende que la parte solicitante y ahora </w:t>
      </w:r>
      <w:r w:rsidRPr="00AA4D94">
        <w:rPr>
          <w:rFonts w:ascii="Palatino Linotype" w:hAnsi="Palatino Linotype"/>
          <w:b/>
        </w:rPr>
        <w:t>RECURRENTE</w:t>
      </w:r>
      <w:r w:rsidRPr="00AA4D94">
        <w:rPr>
          <w:rFonts w:ascii="Palatino Linotype" w:hAnsi="Palatino Linotype"/>
        </w:rPr>
        <w:t xml:space="preserve">, en ejercicio de su derecho de acceso a la información pública, no proporcionó su nombre para </w:t>
      </w:r>
      <w:r w:rsidRPr="00AA4D94">
        <w:rPr>
          <w:rFonts w:ascii="Palatino Linotype" w:hAnsi="Palatino Linotype" w:cs="Arial"/>
        </w:rPr>
        <w:t xml:space="preserve">ser </w:t>
      </w:r>
      <w:r w:rsidRPr="00AA4D94">
        <w:rPr>
          <w:rFonts w:ascii="Palatino Linotype" w:hAnsi="Palatino Linotype"/>
        </w:rPr>
        <w:t xml:space="preserve">identificado, ya que en el apartado correspondiente a datos del solicitante, </w:t>
      </w:r>
      <w:r w:rsidR="00FD53F9" w:rsidRPr="00AA4D94">
        <w:rPr>
          <w:rFonts w:ascii="Palatino Linotype" w:hAnsi="Palatino Linotype"/>
          <w:b/>
        </w:rPr>
        <w:t>fue omisa en requisitar el correspondiente al apellido materno</w:t>
      </w:r>
      <w:r w:rsidRPr="00AA4D94">
        <w:rPr>
          <w:rFonts w:ascii="Palatino Linotype" w:hAnsi="Palatino Linotype"/>
        </w:rPr>
        <w:t xml:space="preserve">; en virtud de lo anterior, no se tiene </w:t>
      </w:r>
      <w:r w:rsidR="00FD53F9" w:rsidRPr="00AA4D94">
        <w:rPr>
          <w:rFonts w:ascii="Palatino Linotype" w:hAnsi="Palatino Linotype"/>
        </w:rPr>
        <w:t xml:space="preserve">total </w:t>
      </w:r>
      <w:r w:rsidRPr="00AA4D94">
        <w:rPr>
          <w:rFonts w:ascii="Palatino Linotype" w:hAnsi="Palatino Linotype"/>
        </w:rPr>
        <w:t xml:space="preserve">certeza sobre su identidad, lo que, en primera instancia, podría traducirse en que, no se colmaron los requisitos establecidos en el citado artículo 180, de la Ley de la materia. Empero lo anterior, debe destacarse que el artículo 15, de la </w:t>
      </w:r>
      <w:r w:rsidRPr="00AA4D94">
        <w:rPr>
          <w:rFonts w:ascii="Palatino Linotype" w:hAnsi="Palatino Linotype" w:cs="Arial"/>
          <w:lang w:eastAsia="es-MX"/>
        </w:rPr>
        <w:t xml:space="preserve">Ley de Transparencia y Acceso a la </w:t>
      </w:r>
      <w:r w:rsidRPr="00AA4D94">
        <w:rPr>
          <w:rFonts w:ascii="Palatino Linotype" w:hAnsi="Palatino Linotype" w:cs="Arial"/>
        </w:rPr>
        <w:t>Información</w:t>
      </w:r>
      <w:r w:rsidRPr="00AA4D94">
        <w:rPr>
          <w:rFonts w:ascii="Palatino Linotype" w:hAnsi="Palatino Linotype" w:cs="Arial"/>
          <w:lang w:eastAsia="es-MX"/>
        </w:rPr>
        <w:t xml:space="preserve"> Pública del Estado de México y Municipios </w:t>
      </w:r>
      <w:r w:rsidRPr="00AA4D94">
        <w:rPr>
          <w:rFonts w:ascii="Palatino Linotype" w:hAnsi="Palatino Linotype" w:cs="Arial"/>
          <w:iCs/>
        </w:rPr>
        <w:t xml:space="preserve">prevé que, </w:t>
      </w:r>
      <w:r w:rsidRPr="00AA4D94">
        <w:rPr>
          <w:rFonts w:ascii="Palatino Linotype" w:hAnsi="Palatino Linotype"/>
        </w:rPr>
        <w:t xml:space="preserve">toda persona tendrá acceso a la </w:t>
      </w:r>
      <w:r w:rsidRPr="00AA4D94">
        <w:rPr>
          <w:rFonts w:ascii="Palatino Linotype" w:hAnsi="Palatino Linotype" w:cs="Arial"/>
        </w:rPr>
        <w:t>información</w:t>
      </w:r>
      <w:r w:rsidRPr="00AA4D94">
        <w:rPr>
          <w:rFonts w:ascii="Palatino Linotype" w:hAnsi="Palatino Linotype"/>
        </w:rPr>
        <w:t xml:space="preserve"> </w:t>
      </w:r>
      <w:r w:rsidRPr="00AA4D94">
        <w:rPr>
          <w:rFonts w:ascii="Palatino Linotype" w:hAnsi="Palatino Linotype" w:cs="Arial"/>
          <w:color w:val="000000"/>
        </w:rPr>
        <w:t xml:space="preserve">sin </w:t>
      </w:r>
      <w:r w:rsidRPr="00AA4D94">
        <w:rPr>
          <w:rFonts w:ascii="Palatino Linotype" w:hAnsi="Palatino Linotype" w:cs="Arial"/>
          <w:color w:val="000000"/>
        </w:rPr>
        <w:lastRenderedPageBreak/>
        <w:t xml:space="preserve">necesidad de acreditar interés alguno o justificar su </w:t>
      </w:r>
      <w:r w:rsidRPr="00AA4D94">
        <w:rPr>
          <w:rFonts w:ascii="Palatino Linotype" w:hAnsi="Palatino Linotype"/>
        </w:rPr>
        <w:t>utilización</w:t>
      </w:r>
      <w:r w:rsidRPr="00AA4D94">
        <w:rPr>
          <w:rFonts w:ascii="Palatino Linotype" w:hAnsi="Palatino Linotype" w:cs="Arial"/>
          <w:color w:val="000000"/>
        </w:rPr>
        <w:t xml:space="preserve">, de lo que se advierte que, para el </w:t>
      </w:r>
      <w:r w:rsidRPr="00AA4D94">
        <w:rPr>
          <w:rFonts w:ascii="Palatino Linotype" w:hAnsi="Palatino Linotype"/>
        </w:rPr>
        <w:t>ejercicio</w:t>
      </w:r>
      <w:r w:rsidRPr="00AA4D94">
        <w:rPr>
          <w:rFonts w:ascii="Palatino Linotype" w:hAnsi="Palatino Linotype" w:cs="Arial"/>
          <w:color w:val="000000"/>
        </w:rPr>
        <w:t xml:space="preserve"> del derecho de acceso a la información pública, </w:t>
      </w:r>
      <w:r w:rsidRPr="00AA4D94">
        <w:rPr>
          <w:rFonts w:ascii="Palatino Linotype" w:hAnsi="Palatino Linotype" w:cs="Arial"/>
          <w:b/>
          <w:color w:val="000000"/>
        </w:rPr>
        <w:t xml:space="preserve">el nombre completo no es un </w:t>
      </w:r>
      <w:r w:rsidRPr="00AA4D94">
        <w:rPr>
          <w:rFonts w:ascii="Palatino Linotype" w:hAnsi="Palatino Linotype"/>
          <w:b/>
        </w:rPr>
        <w:t>requisito</w:t>
      </w:r>
      <w:r w:rsidRPr="00AA4D94">
        <w:rPr>
          <w:rFonts w:ascii="Palatino Linotype" w:hAnsi="Palatino Linotype" w:cs="Arial"/>
          <w:b/>
          <w:color w:val="000000"/>
        </w:rPr>
        <w:t xml:space="preserve"> </w:t>
      </w:r>
      <w:r w:rsidRPr="00AA4D94">
        <w:rPr>
          <w:rFonts w:ascii="Palatino Linotype" w:hAnsi="Palatino Linotype" w:cs="Arial"/>
          <w:b/>
          <w:i/>
          <w:color w:val="000000"/>
        </w:rPr>
        <w:t>sine qua non</w:t>
      </w:r>
      <w:r w:rsidRPr="00AA4D94">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como es el caso.</w:t>
      </w:r>
    </w:p>
    <w:p w:rsidR="00CC5F72" w:rsidRPr="00AA4D94" w:rsidRDefault="00CC5F72" w:rsidP="00FD53F9">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Correlativo a </w:t>
      </w:r>
      <w:r w:rsidRPr="00AA4D94">
        <w:rPr>
          <w:rFonts w:ascii="Palatino Linotype" w:hAnsi="Palatino Linotype" w:cs="Arial"/>
          <w:color w:val="000000"/>
        </w:rPr>
        <w:t>ello</w:t>
      </w:r>
      <w:r w:rsidRPr="00AA4D94">
        <w:rPr>
          <w:rFonts w:ascii="Palatino Linotype" w:hAnsi="Palatino Linotype"/>
        </w:rPr>
        <w:t xml:space="preserve">, cabe mencionar que los artículos 6, Apartado A, fracciones I, III, V y VI, de la </w:t>
      </w:r>
      <w:r w:rsidRPr="00AA4D94">
        <w:rPr>
          <w:rFonts w:ascii="Palatino Linotype" w:hAnsi="Palatino Linotype" w:cs="Arial"/>
        </w:rPr>
        <w:t>Constitución</w:t>
      </w:r>
      <w:r w:rsidRPr="00AA4D94">
        <w:rPr>
          <w:rFonts w:ascii="Palatino Linotype" w:hAnsi="Palatino Linotype"/>
        </w:rPr>
        <w:t xml:space="preserve"> Política de los Estados Unidos Mexicanos y el artículo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AA4D94">
        <w:rPr>
          <w:rFonts w:ascii="Palatino Linotype" w:hAnsi="Palatino Linotype" w:cs="Arial"/>
        </w:rPr>
        <w:t>sentido</w:t>
      </w:r>
      <w:r w:rsidRPr="00AA4D94">
        <w:rPr>
          <w:rFonts w:ascii="Palatino Linotype" w:hAnsi="Palatino Linotype"/>
        </w:rPr>
        <w:t xml:space="preserve"> literal es el siguiente:</w:t>
      </w:r>
    </w:p>
    <w:p w:rsidR="00CC5F72" w:rsidRPr="00AA4D94" w:rsidRDefault="00CC5F72" w:rsidP="00CC5F72">
      <w:pPr>
        <w:spacing w:before="120" w:after="120"/>
        <w:ind w:left="709" w:right="709"/>
        <w:jc w:val="center"/>
        <w:rPr>
          <w:rFonts w:ascii="Palatino Linotype" w:hAnsi="Palatino Linotype" w:cs="Arial"/>
          <w:b/>
          <w:i/>
          <w:sz w:val="22"/>
          <w:szCs w:val="22"/>
        </w:rPr>
      </w:pPr>
      <w:r w:rsidRPr="00AA4D94">
        <w:rPr>
          <w:rFonts w:ascii="Palatino Linotype" w:hAnsi="Palatino Linotype" w:cs="Arial"/>
          <w:b/>
          <w:i/>
          <w:sz w:val="22"/>
          <w:szCs w:val="22"/>
        </w:rPr>
        <w:t>Constitución Política de los Estados Unidos Mexicanos</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Artículo 6o.</w:t>
      </w:r>
      <w:r w:rsidRPr="00AA4D9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A4D94">
        <w:rPr>
          <w:rFonts w:ascii="Palatino Linotype" w:hAnsi="Palatino Linotype" w:cs="Arial"/>
          <w:b/>
          <w:i/>
          <w:sz w:val="22"/>
          <w:szCs w:val="22"/>
          <w:u w:val="single"/>
        </w:rPr>
        <w:t>El derecho a la información será garantizado por el Estado</w:t>
      </w:r>
      <w:r w:rsidRPr="00AA4D94">
        <w:rPr>
          <w:rFonts w:ascii="Palatino Linotype" w:hAnsi="Palatino Linotype" w:cs="Arial"/>
          <w:b/>
          <w:i/>
          <w:sz w:val="22"/>
          <w:szCs w:val="22"/>
        </w:rPr>
        <w:t>.</w:t>
      </w:r>
      <w:r w:rsidRPr="00AA4D94">
        <w:rPr>
          <w:rFonts w:ascii="Palatino Linotype" w:hAnsi="Palatino Linotype" w:cs="Arial"/>
          <w:i/>
          <w:sz w:val="22"/>
          <w:szCs w:val="22"/>
        </w:rPr>
        <w:t xml:space="preserve"> </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b/>
          <w:i/>
          <w:sz w:val="22"/>
          <w:szCs w:val="22"/>
          <w:u w:val="single"/>
        </w:rPr>
        <w:t xml:space="preserve">Toda persona tiene </w:t>
      </w:r>
      <w:r w:rsidRPr="00AA4D94">
        <w:rPr>
          <w:rFonts w:ascii="Palatino Linotype" w:hAnsi="Palatino Linotype"/>
          <w:b/>
          <w:i/>
          <w:sz w:val="22"/>
          <w:szCs w:val="22"/>
          <w:u w:val="single"/>
        </w:rPr>
        <w:t>derecho</w:t>
      </w:r>
      <w:r w:rsidRPr="00AA4D94">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AA4D94">
        <w:rPr>
          <w:rFonts w:ascii="Palatino Linotype" w:hAnsi="Palatino Linotype" w:cs="Arial"/>
          <w:i/>
          <w:sz w:val="22"/>
          <w:szCs w:val="22"/>
        </w:rPr>
        <w:t>.</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 xml:space="preserve">Para efectos de lo </w:t>
      </w:r>
      <w:r w:rsidRPr="00AA4D94">
        <w:rPr>
          <w:rFonts w:ascii="Palatino Linotype" w:hAnsi="Palatino Linotype"/>
          <w:i/>
          <w:sz w:val="22"/>
          <w:szCs w:val="22"/>
        </w:rPr>
        <w:t>dispuesto</w:t>
      </w:r>
      <w:r w:rsidRPr="00AA4D94">
        <w:rPr>
          <w:rFonts w:ascii="Palatino Linotype" w:hAnsi="Palatino Linotype" w:cs="Arial"/>
          <w:i/>
          <w:sz w:val="22"/>
          <w:szCs w:val="22"/>
        </w:rPr>
        <w:t xml:space="preserve"> en el presente artículo se observará lo siguiente:</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b/>
          <w:i/>
          <w:sz w:val="22"/>
          <w:szCs w:val="22"/>
        </w:rPr>
        <w:t>A.</w:t>
      </w:r>
      <w:r w:rsidRPr="00AA4D9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CC5F72" w:rsidRPr="00AA4D94" w:rsidRDefault="00CC5F72" w:rsidP="00CC5F72">
      <w:pPr>
        <w:spacing w:before="200" w:after="200"/>
        <w:ind w:left="709" w:right="709"/>
        <w:jc w:val="both"/>
        <w:rPr>
          <w:rFonts w:ascii="Palatino Linotype" w:hAnsi="Palatino Linotype" w:cs="Arial"/>
          <w:b/>
          <w:i/>
          <w:sz w:val="22"/>
          <w:szCs w:val="22"/>
        </w:rPr>
      </w:pPr>
      <w:r w:rsidRPr="00AA4D94">
        <w:rPr>
          <w:rFonts w:ascii="Palatino Linotype" w:hAnsi="Palatino Linotype" w:cs="Arial"/>
          <w:b/>
          <w:i/>
          <w:sz w:val="22"/>
          <w:szCs w:val="22"/>
        </w:rPr>
        <w:lastRenderedPageBreak/>
        <w:t xml:space="preserve">I. </w:t>
      </w:r>
      <w:r w:rsidRPr="00AA4D94">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A4D94">
        <w:rPr>
          <w:rFonts w:ascii="Palatino Linotype" w:hAnsi="Palatino Linotype" w:cs="Arial"/>
          <w:b/>
          <w:i/>
          <w:sz w:val="22"/>
          <w:szCs w:val="22"/>
        </w:rPr>
        <w:t>.</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p>
    <w:p w:rsidR="00CC5F72" w:rsidRPr="00AA4D94" w:rsidRDefault="00CC5F72" w:rsidP="00CC5F72">
      <w:pPr>
        <w:spacing w:before="200" w:after="200"/>
        <w:ind w:left="709" w:right="709"/>
        <w:jc w:val="both"/>
        <w:rPr>
          <w:rFonts w:ascii="Palatino Linotype" w:hAnsi="Palatino Linotype" w:cs="Arial"/>
          <w:b/>
          <w:i/>
          <w:sz w:val="22"/>
          <w:szCs w:val="22"/>
        </w:rPr>
      </w:pPr>
      <w:r w:rsidRPr="00AA4D94">
        <w:rPr>
          <w:rFonts w:ascii="Palatino Linotype" w:hAnsi="Palatino Linotype" w:cs="Arial"/>
          <w:b/>
          <w:i/>
          <w:sz w:val="22"/>
          <w:szCs w:val="22"/>
        </w:rPr>
        <w:t xml:space="preserve">III. </w:t>
      </w:r>
      <w:r w:rsidRPr="00AA4D94">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AA4D94">
        <w:rPr>
          <w:rFonts w:ascii="Palatino Linotype" w:hAnsi="Palatino Linotype" w:cs="Arial"/>
          <w:b/>
          <w:i/>
          <w:sz w:val="22"/>
          <w:szCs w:val="22"/>
        </w:rPr>
        <w:t>.</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p>
    <w:p w:rsidR="00CC5F72" w:rsidRPr="00AA4D94" w:rsidRDefault="00CC5F72" w:rsidP="00CC5F72">
      <w:pPr>
        <w:spacing w:before="200" w:after="200"/>
        <w:ind w:left="709" w:right="709"/>
        <w:jc w:val="both"/>
        <w:rPr>
          <w:rFonts w:ascii="Palatino Linotype" w:hAnsi="Palatino Linotype" w:cs="Arial"/>
          <w:b/>
          <w:i/>
          <w:sz w:val="22"/>
          <w:szCs w:val="22"/>
        </w:rPr>
      </w:pPr>
      <w:r w:rsidRPr="00AA4D94">
        <w:rPr>
          <w:rFonts w:ascii="Palatino Linotype" w:hAnsi="Palatino Linotype" w:cs="Arial"/>
          <w:b/>
          <w:i/>
          <w:sz w:val="22"/>
          <w:szCs w:val="22"/>
        </w:rPr>
        <w:t xml:space="preserve">V. </w:t>
      </w:r>
      <w:r w:rsidRPr="00AA4D94">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C5F72" w:rsidRPr="00AA4D94" w:rsidRDefault="00CC5F72" w:rsidP="00CC5F72">
      <w:pPr>
        <w:spacing w:before="200" w:after="200"/>
        <w:ind w:left="709" w:right="709"/>
        <w:jc w:val="both"/>
        <w:rPr>
          <w:rFonts w:ascii="Palatino Linotype" w:hAnsi="Palatino Linotype" w:cs="Arial"/>
          <w:b/>
          <w:i/>
          <w:sz w:val="22"/>
          <w:szCs w:val="22"/>
          <w:u w:val="single"/>
        </w:rPr>
      </w:pPr>
      <w:r w:rsidRPr="00AA4D94">
        <w:rPr>
          <w:rFonts w:ascii="Palatino Linotype" w:hAnsi="Palatino Linotype" w:cs="Arial"/>
          <w:b/>
          <w:i/>
          <w:sz w:val="22"/>
          <w:szCs w:val="22"/>
        </w:rPr>
        <w:t xml:space="preserve">VI. </w:t>
      </w:r>
      <w:r w:rsidRPr="00AA4D94">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AA4D94">
        <w:rPr>
          <w:rFonts w:ascii="Palatino Linotype" w:hAnsi="Palatino Linotype" w:cs="Arial"/>
          <w:i/>
          <w:sz w:val="22"/>
          <w:szCs w:val="22"/>
        </w:rPr>
        <w:t>.”</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p>
    <w:p w:rsidR="00CC5F72" w:rsidRPr="00AA4D94" w:rsidRDefault="00CC5F72" w:rsidP="00CC5F72">
      <w:pPr>
        <w:spacing w:before="200" w:after="200"/>
        <w:ind w:left="709" w:right="709"/>
        <w:jc w:val="both"/>
        <w:rPr>
          <w:rFonts w:ascii="Palatino Linotype" w:hAnsi="Palatino Linotype" w:cs="Arial"/>
          <w:b/>
          <w:i/>
          <w:sz w:val="22"/>
          <w:szCs w:val="22"/>
        </w:rPr>
      </w:pPr>
      <w:r w:rsidRPr="00AA4D94">
        <w:rPr>
          <w:rFonts w:ascii="Palatino Linotype" w:hAnsi="Palatino Linotype" w:cs="Arial"/>
          <w:b/>
          <w:i/>
          <w:sz w:val="22"/>
          <w:szCs w:val="22"/>
          <w:u w:val="single"/>
        </w:rPr>
        <w:t>La ley establecerá aquella información que se considere reservada o confidencial</w:t>
      </w:r>
      <w:r w:rsidRPr="00AA4D94">
        <w:rPr>
          <w:rFonts w:ascii="Palatino Linotype" w:hAnsi="Palatino Linotype" w:cs="Arial"/>
          <w:b/>
          <w:i/>
          <w:sz w:val="22"/>
          <w:szCs w:val="22"/>
        </w:rPr>
        <w:t>.</w:t>
      </w:r>
      <w:r w:rsidRPr="00AA4D94">
        <w:rPr>
          <w:rFonts w:ascii="Palatino Linotype" w:hAnsi="Palatino Linotype" w:cs="Arial"/>
          <w:i/>
          <w:sz w:val="22"/>
          <w:szCs w:val="22"/>
        </w:rPr>
        <w:t>”</w:t>
      </w:r>
    </w:p>
    <w:p w:rsidR="00CC5F72" w:rsidRPr="00AA4D94" w:rsidRDefault="00CC5F72" w:rsidP="00CC5F72">
      <w:pPr>
        <w:spacing w:before="360" w:after="120"/>
        <w:ind w:left="709" w:right="709"/>
        <w:jc w:val="center"/>
        <w:rPr>
          <w:rFonts w:ascii="Palatino Linotype" w:hAnsi="Palatino Linotype" w:cs="Arial"/>
          <w:b/>
          <w:i/>
          <w:sz w:val="22"/>
          <w:szCs w:val="22"/>
        </w:rPr>
      </w:pPr>
      <w:r w:rsidRPr="00AA4D94">
        <w:rPr>
          <w:rFonts w:ascii="Palatino Linotype" w:hAnsi="Palatino Linotype" w:cs="Arial"/>
          <w:b/>
          <w:i/>
          <w:sz w:val="22"/>
          <w:szCs w:val="22"/>
        </w:rPr>
        <w:t>Constitución Política del Estado Libre y Soberano de México</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 xml:space="preserve">Artículo 5. </w:t>
      </w:r>
      <w:r w:rsidRPr="00AA4D94">
        <w:rPr>
          <w:rFonts w:ascii="Palatino Linotype" w:hAnsi="Palatino Linotype" w:cs="Arial"/>
          <w:i/>
          <w:sz w:val="22"/>
          <w:szCs w:val="22"/>
        </w:rPr>
        <w:t>[…]</w:t>
      </w:r>
    </w:p>
    <w:p w:rsidR="00CC5F72" w:rsidRPr="00AA4D94" w:rsidRDefault="00CC5F72" w:rsidP="00CC5F72">
      <w:pPr>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w:t>
      </w:r>
    </w:p>
    <w:p w:rsidR="00CC5F72" w:rsidRPr="00AA4D94" w:rsidRDefault="00CC5F72" w:rsidP="00CC5F72">
      <w:pPr>
        <w:spacing w:before="200" w:after="200"/>
        <w:ind w:left="709" w:right="709"/>
        <w:jc w:val="both"/>
        <w:rPr>
          <w:rFonts w:ascii="Palatino Linotype" w:hAnsi="Palatino Linotype"/>
          <w:i/>
          <w:sz w:val="22"/>
          <w:szCs w:val="22"/>
        </w:rPr>
      </w:pPr>
      <w:r w:rsidRPr="00AA4D94">
        <w:rPr>
          <w:rFonts w:ascii="Palatino Linotype" w:hAnsi="Palatino Linotype"/>
          <w:b/>
          <w:i/>
          <w:sz w:val="22"/>
          <w:szCs w:val="22"/>
          <w:u w:val="single"/>
        </w:rPr>
        <w:t>El derecho a la información será garantizado por el Estado</w:t>
      </w:r>
      <w:r w:rsidRPr="00AA4D94">
        <w:rPr>
          <w:rFonts w:ascii="Palatino Linotype" w:hAnsi="Palatino Linotype"/>
          <w:i/>
          <w:sz w:val="22"/>
          <w:szCs w:val="22"/>
        </w:rPr>
        <w:t>. La ley establecerá las previsiones que permitan asegurar la protección, el respeto y la difusión de este derecho.</w:t>
      </w:r>
    </w:p>
    <w:p w:rsidR="00CC5F72" w:rsidRPr="00AA4D94" w:rsidRDefault="00CC5F72" w:rsidP="00CC5F72">
      <w:pPr>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C5F72" w:rsidRPr="00AA4D94" w:rsidRDefault="00CC5F72" w:rsidP="00CC5F72">
      <w:pPr>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Este derecho se regirá por los principios y bases siguientes:</w:t>
      </w:r>
    </w:p>
    <w:p w:rsidR="00CC5F72" w:rsidRPr="00AA4D94" w:rsidRDefault="00CC5F72" w:rsidP="00CC5F72">
      <w:pPr>
        <w:spacing w:before="200" w:after="200"/>
        <w:ind w:left="709" w:right="709"/>
        <w:jc w:val="both"/>
        <w:rPr>
          <w:rFonts w:ascii="Palatino Linotype" w:hAnsi="Palatino Linotype"/>
          <w:i/>
          <w:sz w:val="22"/>
          <w:szCs w:val="22"/>
        </w:rPr>
      </w:pPr>
      <w:r w:rsidRPr="00AA4D94">
        <w:rPr>
          <w:rFonts w:ascii="Palatino Linotype" w:hAnsi="Palatino Linotype"/>
          <w:b/>
          <w:i/>
          <w:sz w:val="22"/>
          <w:szCs w:val="22"/>
        </w:rPr>
        <w:t xml:space="preserve">I. </w:t>
      </w:r>
      <w:r w:rsidRPr="00AA4D94">
        <w:rPr>
          <w:rFonts w:ascii="Palatino Linotype" w:hAnsi="Palatino Linotype"/>
          <w:b/>
          <w:i/>
          <w:sz w:val="22"/>
          <w:szCs w:val="22"/>
          <w:u w:val="single"/>
        </w:rPr>
        <w:t>Toda la información en posesión de cualquier</w:t>
      </w:r>
      <w:r w:rsidRPr="00AA4D94">
        <w:rPr>
          <w:rFonts w:ascii="Palatino Linotype" w:hAnsi="Palatino Linotype"/>
          <w:b/>
          <w:i/>
          <w:sz w:val="22"/>
          <w:szCs w:val="22"/>
        </w:rPr>
        <w:t xml:space="preserve"> </w:t>
      </w:r>
      <w:r w:rsidRPr="00AA4D94">
        <w:rPr>
          <w:rFonts w:ascii="Palatino Linotype" w:hAnsi="Palatino Linotype"/>
          <w:i/>
          <w:sz w:val="22"/>
          <w:szCs w:val="22"/>
        </w:rPr>
        <w:t xml:space="preserve">autoridad, entidad, órgano y organismos de los Poderes Ejecutivo, Legislativo y Judicial, órganos autónomos, </w:t>
      </w:r>
      <w:r w:rsidRPr="00AA4D94">
        <w:rPr>
          <w:rFonts w:ascii="Palatino Linotype" w:hAnsi="Palatino Linotype"/>
          <w:b/>
          <w:i/>
          <w:sz w:val="22"/>
          <w:szCs w:val="22"/>
          <w:u w:val="single"/>
        </w:rPr>
        <w:t>partidos políticos</w:t>
      </w:r>
      <w:r w:rsidRPr="00AA4D94">
        <w:rPr>
          <w:rFonts w:ascii="Palatino Linotype" w:hAnsi="Palatino Linotype"/>
          <w:i/>
          <w:sz w:val="22"/>
          <w:szCs w:val="22"/>
        </w:rPr>
        <w:t>, fideicomisos y fondos públicos estatales y municipales</w:t>
      </w:r>
      <w:r w:rsidRPr="00AA4D94">
        <w:rPr>
          <w:rFonts w:ascii="Palatino Linotype" w:hAnsi="Palatino Linotype"/>
          <w:b/>
          <w:i/>
          <w:sz w:val="22"/>
          <w:szCs w:val="22"/>
        </w:rPr>
        <w:t>,</w:t>
      </w:r>
      <w:r w:rsidRPr="00AA4D9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A4D94">
        <w:rPr>
          <w:rFonts w:ascii="Palatino Linotype" w:hAnsi="Palatino Linotype" w:cs="Arial"/>
          <w:i/>
          <w:sz w:val="22"/>
          <w:szCs w:val="22"/>
        </w:rPr>
        <w:t>determinará</w:t>
      </w:r>
      <w:r w:rsidRPr="00AA4D94">
        <w:rPr>
          <w:rFonts w:ascii="Palatino Linotype" w:hAnsi="Palatino Linotype"/>
          <w:i/>
          <w:sz w:val="22"/>
          <w:szCs w:val="22"/>
        </w:rPr>
        <w:t xml:space="preserve"> los supuestos específicos bajo los cuales procederá la declaración de inexistencia de la información.</w:t>
      </w:r>
    </w:p>
    <w:p w:rsidR="00CC5F72" w:rsidRPr="00AA4D94" w:rsidRDefault="00CC5F72" w:rsidP="00CC5F72">
      <w:pPr>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w:t>
      </w:r>
    </w:p>
    <w:p w:rsidR="00CC5F72" w:rsidRPr="00AA4D94" w:rsidRDefault="00CC5F72" w:rsidP="00CC5F72">
      <w:pPr>
        <w:spacing w:before="200" w:after="200"/>
        <w:ind w:left="709" w:right="709"/>
        <w:jc w:val="both"/>
        <w:rPr>
          <w:rFonts w:ascii="Palatino Linotype" w:hAnsi="Palatino Linotype"/>
          <w:i/>
          <w:sz w:val="22"/>
          <w:szCs w:val="22"/>
        </w:rPr>
      </w:pPr>
      <w:r w:rsidRPr="00AA4D94">
        <w:rPr>
          <w:rFonts w:ascii="Palatino Linotype" w:hAnsi="Palatino Linotype"/>
          <w:b/>
          <w:i/>
          <w:sz w:val="22"/>
          <w:szCs w:val="22"/>
        </w:rPr>
        <w:t xml:space="preserve">III. </w:t>
      </w:r>
      <w:r w:rsidRPr="00AA4D94">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AA4D94">
        <w:rPr>
          <w:rFonts w:ascii="Palatino Linotype" w:hAnsi="Palatino Linotype"/>
          <w:i/>
          <w:sz w:val="22"/>
          <w:szCs w:val="22"/>
        </w:rPr>
        <w:t>.”</w:t>
      </w:r>
    </w:p>
    <w:p w:rsidR="00CC5F72" w:rsidRPr="00AA4D94" w:rsidRDefault="00CC5F72" w:rsidP="00CC5F72">
      <w:pPr>
        <w:spacing w:before="200" w:after="20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CC5F72" w:rsidRPr="00AA4D94" w:rsidRDefault="00CC5F72" w:rsidP="00FD53F9">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Por otra parte, del </w:t>
      </w:r>
      <w:r w:rsidRPr="00AA4D94">
        <w:rPr>
          <w:rFonts w:ascii="Palatino Linotype" w:hAnsi="Palatino Linotype" w:cs="Arial"/>
          <w:color w:val="000000"/>
        </w:rPr>
        <w:t>contenido</w:t>
      </w:r>
      <w:r w:rsidRPr="00AA4D94">
        <w:rPr>
          <w:rFonts w:ascii="Palatino Linotype" w:hAnsi="Palatino Linotype"/>
        </w:rPr>
        <w:t xml:space="preserve"> del artículo 1 de la Constitución Política de los Estados Unidos Mexicanos, se </w:t>
      </w:r>
      <w:r w:rsidRPr="00AA4D94">
        <w:rPr>
          <w:rFonts w:ascii="Palatino Linotype" w:hAnsi="Palatino Linotype" w:cs="Arial"/>
          <w:color w:val="000000"/>
        </w:rPr>
        <w:t>destaca</w:t>
      </w:r>
      <w:r w:rsidRPr="00AA4D94">
        <w:rPr>
          <w:rFonts w:ascii="Palatino Linotype" w:hAnsi="Palatino Linotype"/>
        </w:rPr>
        <w:t xml:space="preserve"> lo siguiente:</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Artículo 1o</w:t>
      </w:r>
      <w:r w:rsidRPr="00AA4D9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C5F72" w:rsidRPr="00AA4D94" w:rsidRDefault="00CC5F72" w:rsidP="00CC5F72">
      <w:pPr>
        <w:spacing w:before="200" w:after="200"/>
        <w:ind w:left="709" w:right="709"/>
        <w:jc w:val="both"/>
        <w:rPr>
          <w:rFonts w:ascii="Palatino Linotype" w:hAnsi="Palatino Linotype" w:cs="Arial"/>
          <w:b/>
          <w:i/>
          <w:sz w:val="22"/>
          <w:szCs w:val="22"/>
        </w:rPr>
      </w:pPr>
      <w:r w:rsidRPr="00AA4D94">
        <w:rPr>
          <w:rFonts w:ascii="Palatino Linotype" w:hAnsi="Palatino Linotype" w:cs="Arial"/>
          <w:b/>
          <w:i/>
          <w:sz w:val="22"/>
          <w:szCs w:val="22"/>
          <w:u w:val="single"/>
        </w:rPr>
        <w:t>Las normas relativas a los derechos humanos se interpretarán</w:t>
      </w:r>
      <w:r w:rsidRPr="00AA4D94">
        <w:rPr>
          <w:rFonts w:ascii="Palatino Linotype" w:hAnsi="Palatino Linotype" w:cs="Arial"/>
          <w:i/>
          <w:sz w:val="22"/>
          <w:szCs w:val="22"/>
        </w:rPr>
        <w:t xml:space="preserve"> de conformidad con esta Constitución y con los tratados internacionales de la </w:t>
      </w:r>
      <w:r w:rsidRPr="00AA4D94">
        <w:rPr>
          <w:rFonts w:ascii="Palatino Linotype" w:hAnsi="Palatino Linotype" w:cs="Arial"/>
          <w:b/>
          <w:i/>
          <w:sz w:val="22"/>
          <w:szCs w:val="22"/>
        </w:rPr>
        <w:t xml:space="preserve">materia </w:t>
      </w:r>
      <w:r w:rsidRPr="00AA4D94">
        <w:rPr>
          <w:rFonts w:ascii="Palatino Linotype" w:hAnsi="Palatino Linotype" w:cs="Arial"/>
          <w:b/>
          <w:i/>
          <w:sz w:val="22"/>
          <w:szCs w:val="22"/>
          <w:u w:val="single"/>
        </w:rPr>
        <w:t>favoreciendo en todo tiempo a las personas la protección más amplia</w:t>
      </w:r>
      <w:r w:rsidRPr="00AA4D94">
        <w:rPr>
          <w:rFonts w:ascii="Palatino Linotype" w:hAnsi="Palatino Linotype" w:cs="Arial"/>
          <w:b/>
          <w:i/>
          <w:sz w:val="22"/>
          <w:szCs w:val="22"/>
        </w:rPr>
        <w:t>.</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AA4D94">
        <w:rPr>
          <w:rFonts w:ascii="Palatino Linotype" w:hAnsi="Palatino Linotype" w:cs="Arial"/>
          <w:i/>
          <w:sz w:val="22"/>
          <w:szCs w:val="22"/>
        </w:rPr>
        <w:t>. En consecuencia, el Estado deberá prevenir, investigar, sancionar y reparar las violaciones a los derechos humanos, en los términos que establezca la ley.”</w:t>
      </w:r>
    </w:p>
    <w:p w:rsidR="00CC5F72" w:rsidRPr="00AA4D94" w:rsidRDefault="00CC5F72" w:rsidP="00CC5F72">
      <w:pPr>
        <w:spacing w:before="200" w:after="20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CC5F72" w:rsidRPr="00AA4D94" w:rsidRDefault="00CC5F72" w:rsidP="00FD53F9">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C5F72" w:rsidRPr="00AA4D94" w:rsidRDefault="00CC5F72" w:rsidP="00FD53F9">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Robustece lo anterior, el Criterio 6/2014 del entonces </w:t>
      </w:r>
      <w:r w:rsidRPr="00AA4D94">
        <w:rPr>
          <w:rFonts w:ascii="Palatino Linotype" w:hAnsi="Palatino Linotype"/>
          <w:szCs w:val="20"/>
        </w:rPr>
        <w:t xml:space="preserve">Instituto Federal de Acceso a la </w:t>
      </w:r>
      <w:r w:rsidRPr="00AA4D94">
        <w:rPr>
          <w:rFonts w:ascii="Palatino Linotype" w:hAnsi="Palatino Linotype"/>
        </w:rPr>
        <w:t>Información</w:t>
      </w:r>
      <w:r w:rsidRPr="00AA4D94">
        <w:rPr>
          <w:rFonts w:ascii="Palatino Linotype" w:hAnsi="Palatino Linotype"/>
          <w:szCs w:val="20"/>
        </w:rPr>
        <w:t xml:space="preserve"> y </w:t>
      </w:r>
      <w:r w:rsidRPr="00AA4D94">
        <w:rPr>
          <w:rFonts w:ascii="Palatino Linotype" w:hAnsi="Palatino Linotype" w:cs="Arial"/>
        </w:rPr>
        <w:t>Protección</w:t>
      </w:r>
      <w:r w:rsidRPr="00AA4D94">
        <w:rPr>
          <w:rFonts w:ascii="Palatino Linotype" w:hAnsi="Palatino Linotype"/>
          <w:szCs w:val="20"/>
        </w:rPr>
        <w:t xml:space="preserve"> de Datos (IFAI) hoy Instituto Nacional de Transparencia, Acceso a la </w:t>
      </w:r>
      <w:r w:rsidRPr="00AA4D94">
        <w:rPr>
          <w:rFonts w:ascii="Palatino Linotype" w:hAnsi="Palatino Linotype"/>
        </w:rPr>
        <w:t>Información</w:t>
      </w:r>
      <w:r w:rsidRPr="00AA4D94">
        <w:rPr>
          <w:rFonts w:ascii="Palatino Linotype" w:hAnsi="Palatino Linotype"/>
          <w:szCs w:val="20"/>
        </w:rPr>
        <w:t xml:space="preserve"> y Protección de Datos Personales (INAI)</w:t>
      </w:r>
      <w:r w:rsidRPr="00AA4D94">
        <w:rPr>
          <w:rFonts w:ascii="Palatino Linotype" w:hAnsi="Palatino Linotype"/>
        </w:rPr>
        <w:t>, el cual se reproduce para una mayor referencia:</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AA4D9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w:t>
      </w:r>
      <w:r w:rsidRPr="00AA4D94">
        <w:rPr>
          <w:rFonts w:ascii="Palatino Linotype" w:hAnsi="Palatino Linotype" w:cs="Arial"/>
          <w:i/>
          <w:sz w:val="22"/>
          <w:szCs w:val="22"/>
        </w:rPr>
        <w:lastRenderedPageBreak/>
        <w:t>pago de reproducción y envío de la información, mediante la exhibición del recibo correspondiente.</w:t>
      </w:r>
    </w:p>
    <w:p w:rsidR="00CC5F72" w:rsidRPr="00AA4D94" w:rsidRDefault="00CC5F72" w:rsidP="00CC5F72">
      <w:pPr>
        <w:spacing w:before="200" w:after="200"/>
        <w:ind w:left="709" w:right="709"/>
        <w:jc w:val="both"/>
        <w:rPr>
          <w:rFonts w:ascii="Palatino Linotype" w:hAnsi="Palatino Linotype" w:cs="Arial"/>
          <w:b/>
          <w:i/>
          <w:sz w:val="22"/>
          <w:szCs w:val="22"/>
        </w:rPr>
      </w:pPr>
      <w:r w:rsidRPr="00AA4D94">
        <w:rPr>
          <w:rFonts w:ascii="Palatino Linotype" w:hAnsi="Palatino Linotype" w:cs="Arial"/>
          <w:b/>
          <w:i/>
          <w:sz w:val="22"/>
          <w:szCs w:val="22"/>
        </w:rPr>
        <w:t>Resoluciones</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b/>
          <w:i/>
          <w:sz w:val="22"/>
          <w:szCs w:val="22"/>
        </w:rPr>
        <w:t>• RDA 5275/13</w:t>
      </w:r>
      <w:r w:rsidRPr="00AA4D94">
        <w:rPr>
          <w:rFonts w:ascii="Palatino Linotype" w:hAnsi="Palatino Linotype" w:cs="Arial"/>
          <w:i/>
          <w:sz w:val="22"/>
          <w:szCs w:val="22"/>
        </w:rPr>
        <w:t>. Interpuesto en contra de la Secretaría de la Defensa Nacional. Comisionado Ponente Ángel Trinidad Zaldívar.</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 xml:space="preserve">• </w:t>
      </w:r>
      <w:r w:rsidRPr="00AA4D94">
        <w:rPr>
          <w:rFonts w:ascii="Palatino Linotype" w:hAnsi="Palatino Linotype" w:cs="Arial"/>
          <w:b/>
          <w:i/>
          <w:sz w:val="22"/>
          <w:szCs w:val="22"/>
        </w:rPr>
        <w:t>RDA 2937/13</w:t>
      </w:r>
      <w:r w:rsidRPr="00AA4D94">
        <w:rPr>
          <w:rFonts w:ascii="Palatino Linotype" w:hAnsi="Palatino Linotype" w:cs="Arial"/>
          <w:i/>
          <w:sz w:val="22"/>
          <w:szCs w:val="22"/>
        </w:rPr>
        <w:t>. Interpuesto en contra de LICONSA, S.A. de C.V. Comisionado. Ponente Gerardo Laveaga Rendón.</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 xml:space="preserve">• </w:t>
      </w:r>
      <w:r w:rsidRPr="00AA4D94">
        <w:rPr>
          <w:rFonts w:ascii="Palatino Linotype" w:hAnsi="Palatino Linotype" w:cs="Arial"/>
          <w:b/>
          <w:i/>
          <w:sz w:val="22"/>
          <w:szCs w:val="22"/>
        </w:rPr>
        <w:t>RDA 3609/12</w:t>
      </w:r>
      <w:r w:rsidRPr="00AA4D94">
        <w:rPr>
          <w:rFonts w:ascii="Palatino Linotype" w:hAnsi="Palatino Linotype" w:cs="Arial"/>
          <w:i/>
          <w:sz w:val="22"/>
          <w:szCs w:val="22"/>
        </w:rPr>
        <w:t>. Interpuesto en contra de la Secretaría de Educación Pública. Comisionada Ponente Sigrid Arzt Colunga.</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 xml:space="preserve">• </w:t>
      </w:r>
      <w:r w:rsidRPr="00AA4D94">
        <w:rPr>
          <w:rFonts w:ascii="Palatino Linotype" w:hAnsi="Palatino Linotype" w:cs="Arial"/>
          <w:b/>
          <w:i/>
          <w:sz w:val="22"/>
          <w:szCs w:val="22"/>
        </w:rPr>
        <w:t>RDA 3361/12</w:t>
      </w:r>
      <w:r w:rsidRPr="00AA4D94">
        <w:rPr>
          <w:rFonts w:ascii="Palatino Linotype" w:hAnsi="Palatino Linotype" w:cs="Arial"/>
          <w:i/>
          <w:sz w:val="22"/>
          <w:szCs w:val="22"/>
        </w:rPr>
        <w:t>. Interpuesto en contra del Servicio de Administración Tributaria. Comisionada Ponente María Elena Pérez-Jaén Zermeño.</w:t>
      </w:r>
    </w:p>
    <w:p w:rsidR="00CC5F72" w:rsidRPr="00AA4D94" w:rsidRDefault="00CC5F72" w:rsidP="00CC5F72">
      <w:pPr>
        <w:spacing w:before="200" w:after="200"/>
        <w:ind w:left="709" w:right="709"/>
        <w:jc w:val="both"/>
        <w:rPr>
          <w:rFonts w:ascii="Palatino Linotype" w:hAnsi="Palatino Linotype" w:cs="Arial"/>
          <w:i/>
          <w:sz w:val="22"/>
          <w:szCs w:val="22"/>
        </w:rPr>
      </w:pPr>
      <w:r w:rsidRPr="00AA4D94">
        <w:rPr>
          <w:rFonts w:ascii="Palatino Linotype" w:hAnsi="Palatino Linotype" w:cs="Arial"/>
          <w:i/>
          <w:sz w:val="22"/>
          <w:szCs w:val="22"/>
        </w:rPr>
        <w:t xml:space="preserve">• </w:t>
      </w:r>
      <w:r w:rsidRPr="00AA4D94">
        <w:rPr>
          <w:rFonts w:ascii="Palatino Linotype" w:hAnsi="Palatino Linotype" w:cs="Arial"/>
          <w:b/>
          <w:i/>
          <w:sz w:val="22"/>
          <w:szCs w:val="22"/>
        </w:rPr>
        <w:t>RDA 0563/12</w:t>
      </w:r>
      <w:r w:rsidRPr="00AA4D94">
        <w:rPr>
          <w:rFonts w:ascii="Palatino Linotype" w:hAnsi="Palatino Linotype" w:cs="Arial"/>
          <w:i/>
          <w:sz w:val="22"/>
          <w:szCs w:val="22"/>
        </w:rPr>
        <w:t>. Interpuesto en contra de la Secretaría de la Función Pública. Comisionada Ponente Jacqueline Peschard Mariscal.”</w:t>
      </w:r>
    </w:p>
    <w:p w:rsidR="00CC5F72" w:rsidRPr="00AA4D94" w:rsidRDefault="00404B4E" w:rsidP="00FD53F9">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Así</w:t>
      </w:r>
      <w:r w:rsidR="00CC5F72" w:rsidRPr="00AA4D94">
        <w:rPr>
          <w:rFonts w:ascii="Palatino Linotype" w:hAnsi="Palatino Linotype"/>
        </w:rPr>
        <w:t>, se estima que el requerimiento relativo al nombre como presupuesto de procedibilidad, podría limitar el ejercicio del derecho de acceso a la información pública, debido a que, el hecho de solicitar la identificación de los</w:t>
      </w:r>
      <w:r w:rsidR="00CC5F72" w:rsidRPr="00AA4D94">
        <w:rPr>
          <w:rFonts w:ascii="Palatino Linotype" w:hAnsi="Palatino Linotype" w:cs="Arial"/>
          <w:b/>
        </w:rPr>
        <w:t xml:space="preserve"> </w:t>
      </w:r>
      <w:r w:rsidR="00CC5F72" w:rsidRPr="00AA4D94">
        <w:rPr>
          <w:rFonts w:ascii="Palatino Linotype" w:hAnsi="Palatino Linotype" w:cs="Arial"/>
        </w:rPr>
        <w:t>recurrentes</w:t>
      </w:r>
      <w:r w:rsidR="00CC5F72" w:rsidRPr="00AA4D94">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CC5F72" w:rsidRPr="00AA4D94" w:rsidRDefault="00CC5F72" w:rsidP="00FD53F9">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Aunado a ello, para el estudio de la materia sobre la que se resuelve el presente recurso de revisión, resulta </w:t>
      </w:r>
      <w:r w:rsidRPr="00AA4D94">
        <w:rPr>
          <w:rFonts w:ascii="Palatino Linotype" w:hAnsi="Palatino Linotype" w:cs="Arial"/>
        </w:rPr>
        <w:t>intrascendente</w:t>
      </w:r>
      <w:r w:rsidRPr="00AA4D94">
        <w:rPr>
          <w:rFonts w:ascii="Palatino Linotype" w:hAnsi="Palatino Linotype"/>
        </w:rPr>
        <w:t xml:space="preserve"> conocer el nombre de la persona que lo hubiere promovido, en virtud de que tanto la </w:t>
      </w:r>
      <w:r w:rsidRPr="00AA4D94">
        <w:rPr>
          <w:rFonts w:ascii="Palatino Linotype" w:hAnsi="Palatino Linotype" w:cs="Arial"/>
        </w:rPr>
        <w:t>Constitución</w:t>
      </w:r>
      <w:r w:rsidRPr="00AA4D94">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AA4D94">
        <w:rPr>
          <w:rFonts w:ascii="Palatino Linotype" w:hAnsi="Palatino Linotype" w:cs="Arial"/>
          <w:color w:val="000000"/>
        </w:rPr>
        <w:t>información;</w:t>
      </w:r>
      <w:r w:rsidRPr="00AA4D94">
        <w:rPr>
          <w:rFonts w:ascii="Palatino Linotype" w:hAnsi="Palatino Linotype"/>
        </w:rPr>
        <w:t xml:space="preserve"> por lo que, resulta ocioso realizar dicho análisis, en la inteligencia de que se limitaría el ejercicio de un derecho humano, como el derecho de </w:t>
      </w:r>
      <w:r w:rsidRPr="00AA4D94">
        <w:rPr>
          <w:rFonts w:ascii="Palatino Linotype" w:hAnsi="Palatino Linotype"/>
        </w:rPr>
        <w:lastRenderedPageBreak/>
        <w:t>acceso a la información pública, por una cuestión procedimental. Asimismo, se estima que el requisito relativo al nombre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AA4D94">
        <w:rPr>
          <w:rFonts w:ascii="Palatino Linotype" w:hAnsi="Palatino Linotype" w:cs="Arial"/>
        </w:rPr>
        <w:t>desprende</w:t>
      </w:r>
      <w:r w:rsidRPr="00AA4D94">
        <w:rPr>
          <w:rFonts w:ascii="Palatino Linotype" w:hAnsi="Palatino Linotype"/>
        </w:rPr>
        <w:t xml:space="preserve"> que </w:t>
      </w:r>
      <w:r w:rsidR="00404B4E" w:rsidRPr="00AA4D94">
        <w:rPr>
          <w:rFonts w:ascii="Palatino Linotype" w:hAnsi="Palatino Linotype" w:cs="Arial"/>
          <w:b/>
        </w:rPr>
        <w:t>LA RECURRENTE</w:t>
      </w:r>
      <w:r w:rsidRPr="00AA4D94">
        <w:rPr>
          <w:rFonts w:ascii="Palatino Linotype" w:hAnsi="Palatino Linotype"/>
        </w:rPr>
        <w:t xml:space="preserve">, es la </w:t>
      </w:r>
      <w:r w:rsidRPr="00AA4D94">
        <w:rPr>
          <w:rFonts w:ascii="Palatino Linotype" w:hAnsi="Palatino Linotype" w:cs="Arial"/>
          <w:color w:val="000000"/>
        </w:rPr>
        <w:t>misma</w:t>
      </w:r>
      <w:r w:rsidRPr="00AA4D94">
        <w:rPr>
          <w:rFonts w:ascii="Palatino Linotype" w:hAnsi="Palatino Linotype"/>
        </w:rPr>
        <w:t xml:space="preserve"> persona que realizó la solicitud de acceso a la información pública que ahora se </w:t>
      </w:r>
      <w:r w:rsidRPr="00AA4D94">
        <w:rPr>
          <w:rFonts w:ascii="Palatino Linotype" w:hAnsi="Palatino Linotype" w:cs="Arial"/>
        </w:rPr>
        <w:t>impugna</w:t>
      </w:r>
      <w:r w:rsidRPr="00AA4D94">
        <w:rPr>
          <w:rFonts w:ascii="Palatino Linotype" w:hAnsi="Palatino Linotype"/>
        </w:rPr>
        <w:t>.</w:t>
      </w:r>
    </w:p>
    <w:p w:rsidR="00CC5F72" w:rsidRPr="00AA4D94" w:rsidRDefault="00CC5F72" w:rsidP="00FD53F9">
      <w:pPr>
        <w:pStyle w:val="Prrafodelista"/>
        <w:widowControl w:val="0"/>
        <w:autoSpaceDE w:val="0"/>
        <w:autoSpaceDN w:val="0"/>
        <w:adjustRightInd w:val="0"/>
        <w:spacing w:before="360" w:after="240" w:line="360" w:lineRule="auto"/>
        <w:ind w:left="0"/>
        <w:jc w:val="both"/>
        <w:rPr>
          <w:rFonts w:ascii="Palatino Linotype" w:hAnsi="Palatino Linotype"/>
          <w:b/>
        </w:rPr>
      </w:pPr>
      <w:r w:rsidRPr="00AA4D94">
        <w:rPr>
          <w:rFonts w:ascii="Palatino Linotype" w:hAnsi="Palatino Linotype"/>
        </w:rPr>
        <w:t xml:space="preserve">En adición a lo </w:t>
      </w:r>
      <w:r w:rsidRPr="00AA4D94">
        <w:rPr>
          <w:rFonts w:ascii="Palatino Linotype" w:hAnsi="Palatino Linotype" w:cs="Arial"/>
        </w:rPr>
        <w:t>anterior</w:t>
      </w:r>
      <w:r w:rsidRPr="00AA4D94">
        <w:rPr>
          <w:rFonts w:ascii="Palatino Linotype" w:hAnsi="Palatino Linotype"/>
        </w:rPr>
        <w:t xml:space="preserve">, el propio artículo 180 en su último párrafo establece que cuando el recurso se </w:t>
      </w:r>
      <w:r w:rsidRPr="00AA4D94">
        <w:rPr>
          <w:rFonts w:ascii="Palatino Linotype" w:hAnsi="Palatino Linotype" w:cs="Arial"/>
          <w:color w:val="000000"/>
        </w:rPr>
        <w:t>interponga</w:t>
      </w:r>
      <w:r w:rsidRPr="00AA4D94">
        <w:rPr>
          <w:rFonts w:ascii="Palatino Linotype" w:hAnsi="Palatino Linotype"/>
        </w:rPr>
        <w:t xml:space="preserve"> de manera electrónica no será indispensable que contenga determinados </w:t>
      </w:r>
      <w:r w:rsidRPr="00AA4D94">
        <w:rPr>
          <w:rFonts w:ascii="Palatino Linotype" w:hAnsi="Palatino Linotype" w:cs="Arial"/>
          <w:color w:val="000000"/>
        </w:rPr>
        <w:t>requisitos</w:t>
      </w:r>
      <w:r w:rsidRPr="00AA4D94">
        <w:rPr>
          <w:rFonts w:ascii="Palatino Linotype" w:hAnsi="Palatino Linotype"/>
        </w:rPr>
        <w:t xml:space="preserve">, entre ellos, el nombre de los recurrentes, por lo que en el presente caso, al haber sido presentado el recurso de revisión vía </w:t>
      </w:r>
      <w:r w:rsidRPr="00AA4D94">
        <w:rPr>
          <w:rFonts w:ascii="Palatino Linotype" w:hAnsi="Palatino Linotype"/>
          <w:b/>
        </w:rPr>
        <w:t>EL</w:t>
      </w:r>
      <w:r w:rsidRPr="00AA4D94">
        <w:rPr>
          <w:rFonts w:ascii="Palatino Linotype" w:hAnsi="Palatino Linotype"/>
        </w:rPr>
        <w:t xml:space="preserve"> </w:t>
      </w:r>
      <w:r w:rsidRPr="00AA4D94">
        <w:rPr>
          <w:rFonts w:ascii="Palatino Linotype" w:hAnsi="Palatino Linotype"/>
          <w:b/>
        </w:rPr>
        <w:t>SAIMEX</w:t>
      </w:r>
      <w:r w:rsidRPr="00AA4D94">
        <w:rPr>
          <w:rFonts w:ascii="Palatino Linotype" w:hAnsi="Palatino Linotype"/>
        </w:rPr>
        <w:t>, dicho requisito resulta innecesario.</w:t>
      </w:r>
    </w:p>
    <w:p w:rsidR="009853F7" w:rsidRPr="00AA4D94" w:rsidRDefault="009853F7" w:rsidP="009853F7">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bookmarkStart w:id="5" w:name="_Ref525159267"/>
      <w:r w:rsidRPr="00AA4D94">
        <w:rPr>
          <w:rFonts w:ascii="Palatino Linotype" w:hAnsi="Palatino Linotype" w:cs="Arial"/>
          <w:b/>
        </w:rPr>
        <w:t>Estudio y resolución del recurso</w:t>
      </w:r>
      <w:r w:rsidRPr="00AA4D94">
        <w:rPr>
          <w:rFonts w:ascii="Palatino Linotype" w:hAnsi="Palatino Linotype" w:cs="Arial"/>
          <w:b/>
          <w:color w:val="000000" w:themeColor="text1"/>
        </w:rPr>
        <w:t xml:space="preserve">. </w:t>
      </w:r>
      <w:r w:rsidRPr="00AA4D94">
        <w:rPr>
          <w:rFonts w:ascii="Palatino Linotype" w:hAnsi="Palatino Linotype" w:cs="Arial"/>
        </w:rPr>
        <w:t xml:space="preserve">Del análisis efectuado se advierte la procedencia del </w:t>
      </w:r>
      <w:r w:rsidRPr="00AA4D94">
        <w:rPr>
          <w:rFonts w:ascii="Palatino Linotype" w:hAnsi="Palatino Linotype"/>
        </w:rPr>
        <w:t>recurso</w:t>
      </w:r>
      <w:r w:rsidRPr="00AA4D94">
        <w:rPr>
          <w:rFonts w:ascii="Palatino Linotype" w:hAnsi="Palatino Linotype" w:cs="Arial"/>
        </w:rPr>
        <w:t xml:space="preserve"> de revisión, toda vez que se actualiza</w:t>
      </w:r>
      <w:r w:rsidR="00626CAC" w:rsidRPr="00AA4D94">
        <w:rPr>
          <w:rFonts w:ascii="Palatino Linotype" w:hAnsi="Palatino Linotype" w:cs="Arial"/>
        </w:rPr>
        <w:t>ron</w:t>
      </w:r>
      <w:r w:rsidRPr="00AA4D94">
        <w:rPr>
          <w:rFonts w:ascii="Palatino Linotype" w:hAnsi="Palatino Linotype" w:cs="Arial"/>
        </w:rPr>
        <w:t xml:space="preserve"> la</w:t>
      </w:r>
      <w:r w:rsidR="00626CAC" w:rsidRPr="00AA4D94">
        <w:rPr>
          <w:rFonts w:ascii="Palatino Linotype" w:hAnsi="Palatino Linotype" w:cs="Arial"/>
        </w:rPr>
        <w:t>s</w:t>
      </w:r>
      <w:r w:rsidRPr="00AA4D94">
        <w:rPr>
          <w:rFonts w:ascii="Palatino Linotype" w:hAnsi="Palatino Linotype" w:cs="Arial"/>
        </w:rPr>
        <w:t xml:space="preserve"> hipótesis prevista</w:t>
      </w:r>
      <w:r w:rsidR="00626CAC" w:rsidRPr="00AA4D94">
        <w:rPr>
          <w:rFonts w:ascii="Palatino Linotype" w:hAnsi="Palatino Linotype" w:cs="Arial"/>
        </w:rPr>
        <w:t>s</w:t>
      </w:r>
      <w:r w:rsidRPr="00AA4D94">
        <w:rPr>
          <w:rFonts w:ascii="Palatino Linotype" w:hAnsi="Palatino Linotype" w:cs="Arial"/>
        </w:rPr>
        <w:t xml:space="preserve"> en la</w:t>
      </w:r>
      <w:r w:rsidR="00626CAC" w:rsidRPr="00AA4D94">
        <w:rPr>
          <w:rFonts w:ascii="Palatino Linotype" w:hAnsi="Palatino Linotype" w:cs="Arial"/>
        </w:rPr>
        <w:t>s</w:t>
      </w:r>
      <w:r w:rsidRPr="00AA4D94">
        <w:rPr>
          <w:rFonts w:ascii="Palatino Linotype" w:hAnsi="Palatino Linotype" w:cs="Arial"/>
        </w:rPr>
        <w:t xml:space="preserve"> fracci</w:t>
      </w:r>
      <w:r w:rsidR="00626CAC" w:rsidRPr="00AA4D94">
        <w:rPr>
          <w:rFonts w:ascii="Palatino Linotype" w:hAnsi="Palatino Linotype" w:cs="Arial"/>
        </w:rPr>
        <w:t>ones</w:t>
      </w:r>
      <w:r w:rsidRPr="00AA4D94">
        <w:rPr>
          <w:rFonts w:ascii="Palatino Linotype" w:hAnsi="Palatino Linotype" w:cs="Arial"/>
        </w:rPr>
        <w:t xml:space="preserve"> VII</w:t>
      </w:r>
      <w:r w:rsidR="00626CAC" w:rsidRPr="00AA4D94">
        <w:rPr>
          <w:rFonts w:ascii="Palatino Linotype" w:hAnsi="Palatino Linotype" w:cs="Arial"/>
        </w:rPr>
        <w:t xml:space="preserve"> y XI</w:t>
      </w:r>
      <w:r w:rsidRPr="00AA4D94">
        <w:rPr>
          <w:rFonts w:ascii="Palatino Linotype" w:hAnsi="Palatino Linotype" w:cs="Arial"/>
        </w:rPr>
        <w:t>, del artículo 179 de la Ley de la materia, que a la letra indica:</w:t>
      </w:r>
      <w:bookmarkEnd w:id="5"/>
    </w:p>
    <w:p w:rsidR="009853F7" w:rsidRPr="00AA4D94" w:rsidRDefault="009853F7" w:rsidP="009853F7">
      <w:pPr>
        <w:spacing w:before="200" w:after="200"/>
        <w:ind w:left="709" w:right="709"/>
        <w:jc w:val="both"/>
        <w:rPr>
          <w:rFonts w:ascii="Palatino Linotype" w:hAnsi="Palatino Linotype" w:cs="Arial"/>
          <w:b/>
          <w:i/>
          <w:sz w:val="22"/>
          <w:szCs w:val="22"/>
        </w:rPr>
      </w:pPr>
      <w:r w:rsidRPr="00AA4D94">
        <w:rPr>
          <w:rFonts w:ascii="Palatino Linotype" w:hAnsi="Palatino Linotype" w:cs="Arial"/>
          <w:bCs/>
          <w:i/>
          <w:sz w:val="22"/>
          <w:szCs w:val="22"/>
        </w:rPr>
        <w:t>“</w:t>
      </w:r>
      <w:r w:rsidRPr="00AA4D94">
        <w:rPr>
          <w:rFonts w:ascii="Palatino Linotype" w:hAnsi="Palatino Linotype" w:cs="Arial"/>
          <w:b/>
          <w:bCs/>
          <w:i/>
          <w:sz w:val="22"/>
          <w:szCs w:val="22"/>
        </w:rPr>
        <w:t>Artículo 179.</w:t>
      </w:r>
      <w:r w:rsidRPr="00AA4D94">
        <w:rPr>
          <w:rFonts w:ascii="Palatino Linotype" w:hAnsi="Palatino Linotype" w:cs="Arial"/>
          <w:bCs/>
          <w:i/>
          <w:sz w:val="22"/>
          <w:szCs w:val="22"/>
        </w:rPr>
        <w:t xml:space="preserve"> </w:t>
      </w:r>
      <w:r w:rsidRPr="00AA4D94">
        <w:rPr>
          <w:rFonts w:ascii="Palatino Linotype" w:hAnsi="Palatino Linotype" w:cs="Arial"/>
          <w:b/>
          <w:i/>
          <w:sz w:val="22"/>
          <w:szCs w:val="22"/>
          <w:u w:val="single"/>
        </w:rPr>
        <w:t>El recurso de revisión</w:t>
      </w:r>
      <w:r w:rsidRPr="00AA4D94">
        <w:rPr>
          <w:rFonts w:ascii="Palatino Linotype" w:hAnsi="Palatino Linotype" w:cs="Arial"/>
          <w:i/>
          <w:sz w:val="22"/>
          <w:szCs w:val="22"/>
        </w:rPr>
        <w:t xml:space="preserve"> es un medio de protección que la Ley otorga a los particulares, para hacer valer su derecho de acceso a la información pública, y </w:t>
      </w:r>
      <w:r w:rsidRPr="00AA4D94">
        <w:rPr>
          <w:rFonts w:ascii="Palatino Linotype" w:hAnsi="Palatino Linotype" w:cs="Arial"/>
          <w:b/>
          <w:i/>
          <w:sz w:val="22"/>
          <w:szCs w:val="22"/>
          <w:u w:val="single"/>
        </w:rPr>
        <w:t>procederá en contra de las siguientes causas</w:t>
      </w:r>
      <w:r w:rsidRPr="00AA4D94">
        <w:rPr>
          <w:rFonts w:ascii="Palatino Linotype" w:hAnsi="Palatino Linotype" w:cs="Arial"/>
          <w:b/>
          <w:i/>
          <w:sz w:val="22"/>
          <w:szCs w:val="22"/>
        </w:rPr>
        <w:t>:</w:t>
      </w:r>
    </w:p>
    <w:p w:rsidR="009853F7" w:rsidRPr="00AA4D94" w:rsidRDefault="009853F7" w:rsidP="009853F7">
      <w:pPr>
        <w:spacing w:before="200" w:after="200"/>
        <w:ind w:left="709" w:right="709"/>
        <w:jc w:val="both"/>
        <w:rPr>
          <w:rFonts w:ascii="Palatino Linotype" w:hAnsi="Palatino Linotype" w:cs="Arial"/>
          <w:b/>
          <w:i/>
          <w:sz w:val="22"/>
          <w:szCs w:val="22"/>
        </w:rPr>
      </w:pPr>
      <w:r w:rsidRPr="00AA4D94">
        <w:rPr>
          <w:rFonts w:ascii="Palatino Linotype" w:hAnsi="Palatino Linotype" w:cs="Arial"/>
          <w:bCs/>
          <w:i/>
          <w:sz w:val="22"/>
          <w:szCs w:val="22"/>
        </w:rPr>
        <w:lastRenderedPageBreak/>
        <w:t>[…]</w:t>
      </w:r>
    </w:p>
    <w:p w:rsidR="00626CAC" w:rsidRPr="00AA4D94" w:rsidRDefault="009853F7" w:rsidP="009853F7">
      <w:pPr>
        <w:spacing w:before="200" w:after="200"/>
        <w:ind w:left="709" w:right="709"/>
        <w:jc w:val="both"/>
        <w:rPr>
          <w:rFonts w:ascii="Palatino Linotype" w:hAnsi="Palatino Linotype" w:cs="Arial"/>
          <w:bCs/>
          <w:i/>
          <w:sz w:val="22"/>
          <w:szCs w:val="22"/>
        </w:rPr>
      </w:pPr>
      <w:r w:rsidRPr="00AA4D94">
        <w:rPr>
          <w:rFonts w:ascii="Palatino Linotype" w:hAnsi="Palatino Linotype" w:cs="Arial"/>
          <w:b/>
          <w:bCs/>
          <w:i/>
          <w:sz w:val="22"/>
          <w:szCs w:val="22"/>
        </w:rPr>
        <w:t xml:space="preserve">VII. </w:t>
      </w:r>
      <w:r w:rsidRPr="00AA4D94">
        <w:rPr>
          <w:rFonts w:ascii="Palatino Linotype" w:hAnsi="Palatino Linotype" w:cs="Arial"/>
          <w:b/>
          <w:bCs/>
          <w:i/>
          <w:sz w:val="22"/>
          <w:szCs w:val="22"/>
          <w:u w:val="single"/>
        </w:rPr>
        <w:t>La falta de respuesta a una solicitud de acceso a la información</w:t>
      </w:r>
      <w:r w:rsidRPr="00AA4D94">
        <w:rPr>
          <w:rFonts w:ascii="Palatino Linotype" w:hAnsi="Palatino Linotype" w:cs="Arial"/>
          <w:bCs/>
          <w:i/>
          <w:sz w:val="22"/>
          <w:szCs w:val="22"/>
        </w:rPr>
        <w:t>;</w:t>
      </w:r>
    </w:p>
    <w:p w:rsidR="00626CAC" w:rsidRPr="00AA4D94" w:rsidRDefault="00626CAC" w:rsidP="00626CAC">
      <w:pPr>
        <w:spacing w:before="200" w:after="200"/>
        <w:ind w:left="709" w:right="709"/>
        <w:jc w:val="both"/>
        <w:rPr>
          <w:rFonts w:ascii="Palatino Linotype" w:hAnsi="Palatino Linotype" w:cs="Arial"/>
          <w:b/>
          <w:i/>
          <w:sz w:val="22"/>
          <w:szCs w:val="22"/>
        </w:rPr>
      </w:pPr>
      <w:r w:rsidRPr="00AA4D94">
        <w:rPr>
          <w:rFonts w:ascii="Palatino Linotype" w:hAnsi="Palatino Linotype" w:cs="Arial"/>
          <w:bCs/>
          <w:i/>
          <w:sz w:val="22"/>
          <w:szCs w:val="22"/>
        </w:rPr>
        <w:t>[…]</w:t>
      </w:r>
    </w:p>
    <w:p w:rsidR="009853F7" w:rsidRPr="00AA4D94" w:rsidRDefault="00626CAC" w:rsidP="009853F7">
      <w:pPr>
        <w:spacing w:before="200" w:after="200"/>
        <w:ind w:left="709" w:right="709"/>
        <w:jc w:val="both"/>
        <w:rPr>
          <w:rFonts w:ascii="Palatino Linotype" w:hAnsi="Palatino Linotype" w:cs="Arial"/>
          <w:b/>
          <w:bCs/>
          <w:i/>
          <w:sz w:val="22"/>
          <w:szCs w:val="22"/>
        </w:rPr>
      </w:pPr>
      <w:r w:rsidRPr="00AA4D94">
        <w:rPr>
          <w:rFonts w:ascii="Palatino Linotype" w:hAnsi="Palatino Linotype" w:cs="Arial"/>
          <w:b/>
          <w:bCs/>
          <w:i/>
          <w:sz w:val="22"/>
          <w:szCs w:val="22"/>
        </w:rPr>
        <w:t xml:space="preserve">XI. </w:t>
      </w:r>
      <w:r w:rsidRPr="00AA4D94">
        <w:rPr>
          <w:rFonts w:ascii="Palatino Linotype" w:hAnsi="Palatino Linotype" w:cs="Arial"/>
          <w:b/>
          <w:bCs/>
          <w:i/>
          <w:sz w:val="22"/>
          <w:szCs w:val="22"/>
          <w:u w:val="single"/>
        </w:rPr>
        <w:t>La falta de trámite a una solicitud</w:t>
      </w:r>
      <w:r w:rsidRPr="00AA4D94">
        <w:rPr>
          <w:rFonts w:ascii="Palatino Linotype" w:hAnsi="Palatino Linotype" w:cs="Arial"/>
          <w:bCs/>
          <w:i/>
          <w:sz w:val="22"/>
          <w:szCs w:val="22"/>
        </w:rPr>
        <w:t>;</w:t>
      </w:r>
      <w:r w:rsidR="009853F7" w:rsidRPr="00AA4D94">
        <w:rPr>
          <w:rFonts w:ascii="Palatino Linotype" w:hAnsi="Palatino Linotype" w:cs="Arial"/>
          <w:i/>
          <w:sz w:val="22"/>
          <w:szCs w:val="22"/>
        </w:rPr>
        <w:t>”</w:t>
      </w:r>
    </w:p>
    <w:p w:rsidR="009853F7" w:rsidRPr="00AA4D94" w:rsidRDefault="009853F7" w:rsidP="009853F7">
      <w:pPr>
        <w:spacing w:before="200" w:after="200"/>
        <w:ind w:left="709" w:right="709"/>
        <w:jc w:val="both"/>
        <w:rPr>
          <w:rFonts w:ascii="Palatino Linotype" w:hAnsi="Palatino Linotype" w:cs="Arial"/>
          <w:sz w:val="22"/>
          <w:szCs w:val="22"/>
          <w:lang w:eastAsia="es-MX"/>
        </w:rPr>
      </w:pPr>
      <w:r w:rsidRPr="00AA4D94">
        <w:rPr>
          <w:rFonts w:ascii="Palatino Linotype" w:hAnsi="Palatino Linotype" w:cs="Arial"/>
          <w:sz w:val="22"/>
          <w:szCs w:val="22"/>
          <w:lang w:eastAsia="es-MX"/>
        </w:rPr>
        <w:t>(Énfasis añadido)</w:t>
      </w:r>
    </w:p>
    <w:p w:rsidR="009853F7" w:rsidRPr="00AA4D94" w:rsidRDefault="00626CAC" w:rsidP="009853F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Los </w:t>
      </w:r>
      <w:r w:rsidR="009853F7" w:rsidRPr="00AA4D94">
        <w:rPr>
          <w:rFonts w:ascii="Palatino Linotype" w:hAnsi="Palatino Linotype" w:cs="Arial"/>
        </w:rPr>
        <w:t>precepto</w:t>
      </w:r>
      <w:r w:rsidRPr="00AA4D94">
        <w:rPr>
          <w:rFonts w:ascii="Palatino Linotype" w:hAnsi="Palatino Linotype" w:cs="Arial"/>
        </w:rPr>
        <w:t>s</w:t>
      </w:r>
      <w:r w:rsidR="009853F7" w:rsidRPr="00AA4D94">
        <w:rPr>
          <w:rFonts w:ascii="Palatino Linotype" w:hAnsi="Palatino Linotype" w:cs="Arial"/>
        </w:rPr>
        <w:t xml:space="preserve"> legal</w:t>
      </w:r>
      <w:r w:rsidRPr="00AA4D94">
        <w:rPr>
          <w:rFonts w:ascii="Palatino Linotype" w:hAnsi="Palatino Linotype" w:cs="Arial"/>
        </w:rPr>
        <w:t>es</w:t>
      </w:r>
      <w:r w:rsidR="009853F7" w:rsidRPr="00AA4D94">
        <w:rPr>
          <w:rFonts w:ascii="Palatino Linotype" w:hAnsi="Palatino Linotype" w:cs="Arial"/>
        </w:rPr>
        <w:t xml:space="preserve"> citado</w:t>
      </w:r>
      <w:r w:rsidRPr="00AA4D94">
        <w:rPr>
          <w:rFonts w:ascii="Palatino Linotype" w:hAnsi="Palatino Linotype" w:cs="Arial"/>
        </w:rPr>
        <w:t>s</w:t>
      </w:r>
      <w:r w:rsidR="009853F7" w:rsidRPr="00AA4D94">
        <w:rPr>
          <w:rFonts w:ascii="Palatino Linotype" w:hAnsi="Palatino Linotype" w:cs="Arial"/>
        </w:rPr>
        <w:t>, establece</w:t>
      </w:r>
      <w:r w:rsidRPr="00AA4D94">
        <w:rPr>
          <w:rFonts w:ascii="Palatino Linotype" w:hAnsi="Palatino Linotype" w:cs="Arial"/>
        </w:rPr>
        <w:t>n</w:t>
      </w:r>
      <w:r w:rsidR="009853F7" w:rsidRPr="00AA4D94">
        <w:rPr>
          <w:rFonts w:ascii="Palatino Linotype" w:hAnsi="Palatino Linotype" w:cs="Arial"/>
        </w:rPr>
        <w:t xml:space="preserve"> como supuesto</w:t>
      </w:r>
      <w:r w:rsidRPr="00AA4D94">
        <w:rPr>
          <w:rFonts w:ascii="Palatino Linotype" w:hAnsi="Palatino Linotype" w:cs="Arial"/>
        </w:rPr>
        <w:t>s</w:t>
      </w:r>
      <w:r w:rsidR="009853F7" w:rsidRPr="00AA4D94">
        <w:rPr>
          <w:rFonts w:ascii="Palatino Linotype" w:hAnsi="Palatino Linotype" w:cs="Arial"/>
        </w:rPr>
        <w:t xml:space="preserve"> de procedencia del recurso de revisión, la falta de</w:t>
      </w:r>
      <w:r w:rsidRPr="00AA4D94">
        <w:rPr>
          <w:rFonts w:ascii="Palatino Linotype" w:hAnsi="Palatino Linotype" w:cs="Arial"/>
        </w:rPr>
        <w:t xml:space="preserve"> trámite y respuesta a una solicitud, </w:t>
      </w:r>
      <w:r w:rsidR="009853F7" w:rsidRPr="00AA4D94">
        <w:rPr>
          <w:rFonts w:ascii="Palatino Linotype" w:hAnsi="Palatino Linotype" w:cs="Arial"/>
        </w:rPr>
        <w:t xml:space="preserve">por parte de los </w:t>
      </w:r>
      <w:r w:rsidR="009853F7" w:rsidRPr="00AA4D94">
        <w:rPr>
          <w:rFonts w:ascii="Palatino Linotype" w:hAnsi="Palatino Linotype"/>
        </w:rPr>
        <w:t>Sujetos</w:t>
      </w:r>
      <w:r w:rsidR="009853F7" w:rsidRPr="00AA4D94">
        <w:rPr>
          <w:rFonts w:ascii="Palatino Linotype" w:hAnsi="Palatino Linotype" w:cs="Arial"/>
        </w:rPr>
        <w:t xml:space="preserve"> Obligados. En ese orden de ideas, para ilustrar la actualización del precepto citado, debemos recordar que mediante la solicitud de información </w:t>
      </w:r>
      <w:r w:rsidR="00404B4E" w:rsidRPr="00AA4D94">
        <w:rPr>
          <w:rFonts w:ascii="Palatino Linotype" w:hAnsi="Palatino Linotype" w:cs="Arial"/>
          <w:b/>
        </w:rPr>
        <w:t>LA RECURRENTE</w:t>
      </w:r>
      <w:r w:rsidR="009853F7" w:rsidRPr="00AA4D94">
        <w:rPr>
          <w:rFonts w:ascii="Palatino Linotype" w:hAnsi="Palatino Linotype" w:cs="Arial"/>
          <w:b/>
        </w:rPr>
        <w:t xml:space="preserve"> </w:t>
      </w:r>
      <w:r w:rsidR="009853F7" w:rsidRPr="00AA4D94">
        <w:rPr>
          <w:rFonts w:ascii="Palatino Linotype" w:hAnsi="Palatino Linotype" w:cs="Arial"/>
        </w:rPr>
        <w:t xml:space="preserve">requirió del </w:t>
      </w:r>
      <w:r w:rsidR="009853F7" w:rsidRPr="00AA4D94">
        <w:rPr>
          <w:rFonts w:ascii="Palatino Linotype" w:hAnsi="Palatino Linotype" w:cs="Arial"/>
          <w:b/>
        </w:rPr>
        <w:t>SUJETO OBLIGADO</w:t>
      </w:r>
      <w:r w:rsidR="009853F7" w:rsidRPr="00AA4D94">
        <w:rPr>
          <w:rFonts w:ascii="Palatino Linotype" w:hAnsi="Palatino Linotype" w:cs="Arial"/>
          <w:bCs/>
        </w:rPr>
        <w:t>,</w:t>
      </w:r>
      <w:r w:rsidR="009853F7" w:rsidRPr="00AA4D94">
        <w:rPr>
          <w:rFonts w:ascii="Palatino Linotype" w:hAnsi="Palatino Linotype" w:cs="Arial"/>
        </w:rPr>
        <w:t xml:space="preserve"> vía</w:t>
      </w:r>
      <w:r w:rsidR="009853F7" w:rsidRPr="00AA4D94">
        <w:rPr>
          <w:rFonts w:ascii="Palatino Linotype" w:hAnsi="Palatino Linotype" w:cs="Arial"/>
          <w:b/>
        </w:rPr>
        <w:t xml:space="preserve"> EL SAIMEX</w:t>
      </w:r>
      <w:r w:rsidR="009853F7" w:rsidRPr="00AA4D94">
        <w:rPr>
          <w:rFonts w:ascii="Palatino Linotype" w:hAnsi="Palatino Linotype" w:cs="Arial"/>
        </w:rPr>
        <w:t>, lo siguiente:</w:t>
      </w:r>
    </w:p>
    <w:p w:rsidR="00762419" w:rsidRPr="00AA4D94" w:rsidRDefault="00762419" w:rsidP="00B63402">
      <w:pPr>
        <w:pStyle w:val="Prrafodelista"/>
        <w:widowControl w:val="0"/>
        <w:numPr>
          <w:ilvl w:val="0"/>
          <w:numId w:val="13"/>
        </w:numPr>
        <w:tabs>
          <w:tab w:val="left" w:pos="1701"/>
          <w:tab w:val="left" w:pos="1843"/>
        </w:tabs>
        <w:autoSpaceDE w:val="0"/>
        <w:autoSpaceDN w:val="0"/>
        <w:adjustRightInd w:val="0"/>
        <w:spacing w:before="120" w:after="120" w:line="360" w:lineRule="auto"/>
        <w:ind w:left="357" w:hanging="357"/>
        <w:jc w:val="both"/>
        <w:rPr>
          <w:rFonts w:ascii="Palatino Linotype" w:hAnsi="Palatino Linotype" w:cs="Arial"/>
          <w:color w:val="000000" w:themeColor="text1"/>
        </w:rPr>
      </w:pPr>
      <w:r w:rsidRPr="00AA4D94">
        <w:rPr>
          <w:rFonts w:ascii="Palatino Linotype" w:hAnsi="Palatino Linotype" w:cs="Arial"/>
          <w:color w:val="000000" w:themeColor="text1"/>
        </w:rPr>
        <w:t>Respecto del “</w:t>
      </w:r>
      <w:r w:rsidRPr="00AA4D94">
        <w:rPr>
          <w:rFonts w:ascii="Palatino Linotype" w:eastAsiaTheme="minorEastAsia" w:hAnsi="Palatino Linotype" w:cs="Arial"/>
          <w:b/>
          <w:bCs/>
          <w:i/>
        </w:rPr>
        <w:t>PRESUPUESTO DEL SISTEMA DE ALUMBRADO PÚBLICO MUNICIPAL</w:t>
      </w:r>
      <w:r w:rsidR="00287A4B" w:rsidRPr="00AA4D94">
        <w:rPr>
          <w:rFonts w:ascii="Palatino Linotype" w:eastAsiaTheme="minorEastAsia" w:hAnsi="Palatino Linotype" w:cs="Arial"/>
          <w:b/>
          <w:bCs/>
          <w:i/>
        </w:rPr>
        <w:t>”</w:t>
      </w:r>
      <w:r w:rsidR="00287A4B" w:rsidRPr="00AA4D94">
        <w:rPr>
          <w:rFonts w:ascii="Palatino Linotype" w:eastAsiaTheme="minorEastAsia" w:hAnsi="Palatino Linotype" w:cs="Arial"/>
          <w:bCs/>
        </w:rPr>
        <w:t>:</w:t>
      </w:r>
    </w:p>
    <w:p w:rsidR="00762419" w:rsidRPr="00AA4D94" w:rsidRDefault="00762419" w:rsidP="00B63402">
      <w:pPr>
        <w:pStyle w:val="Prrafodelista"/>
        <w:numPr>
          <w:ilvl w:val="0"/>
          <w:numId w:val="17"/>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 xml:space="preserve">El importe por concepto de alumbrado público facturado por </w:t>
      </w:r>
      <w:r w:rsidR="00287A4B" w:rsidRPr="00AA4D94">
        <w:rPr>
          <w:rFonts w:ascii="Palatino Linotype" w:eastAsiaTheme="minorEastAsia" w:hAnsi="Palatino Linotype" w:cs="Arial"/>
          <w:iCs/>
        </w:rPr>
        <w:t>la Comisión Federal de Electricidad</w:t>
      </w:r>
      <w:r w:rsidR="00B63402" w:rsidRPr="00AA4D94">
        <w:rPr>
          <w:rFonts w:ascii="Palatino Linotype" w:eastAsiaTheme="minorEastAsia" w:hAnsi="Palatino Linotype" w:cs="Arial"/>
          <w:iCs/>
        </w:rPr>
        <w:t xml:space="preserve"> (CFE)</w:t>
      </w:r>
      <w:r w:rsidRPr="00AA4D94">
        <w:rPr>
          <w:rFonts w:ascii="Palatino Linotype" w:eastAsiaTheme="minorEastAsia" w:hAnsi="Palatino Linotype" w:cs="Arial"/>
          <w:iCs/>
        </w:rPr>
        <w:t xml:space="preserve"> en el municipio, desglosado por mes o bimestre, de</w:t>
      </w:r>
      <w:r w:rsidR="00B63402" w:rsidRPr="00AA4D94">
        <w:rPr>
          <w:rFonts w:ascii="Palatino Linotype" w:eastAsiaTheme="minorEastAsia" w:hAnsi="Palatino Linotype" w:cs="Arial"/>
          <w:iCs/>
        </w:rPr>
        <w:t>l año</w:t>
      </w:r>
      <w:r w:rsidRPr="00AA4D94">
        <w:rPr>
          <w:rFonts w:ascii="Palatino Linotype" w:eastAsiaTheme="minorEastAsia" w:hAnsi="Palatino Linotype" w:cs="Arial"/>
          <w:iCs/>
        </w:rPr>
        <w:t xml:space="preserve"> 2013</w:t>
      </w:r>
      <w:r w:rsidR="00B63402" w:rsidRPr="00AA4D94">
        <w:rPr>
          <w:rFonts w:ascii="Palatino Linotype" w:eastAsiaTheme="minorEastAsia" w:hAnsi="Palatino Linotype" w:cs="Arial"/>
          <w:iCs/>
        </w:rPr>
        <w:t xml:space="preserve"> al 13 de noviembre de 2018.</w:t>
      </w:r>
    </w:p>
    <w:p w:rsidR="00762419" w:rsidRPr="00AA4D94" w:rsidRDefault="00B63402" w:rsidP="00B63402">
      <w:pPr>
        <w:pStyle w:val="Prrafodelista"/>
        <w:numPr>
          <w:ilvl w:val="0"/>
          <w:numId w:val="17"/>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A</w:t>
      </w:r>
      <w:r w:rsidR="00762419" w:rsidRPr="00AA4D94">
        <w:rPr>
          <w:rFonts w:ascii="Palatino Linotype" w:eastAsiaTheme="minorEastAsia" w:hAnsi="Palatino Linotype" w:cs="Arial"/>
          <w:iCs/>
        </w:rPr>
        <w:t xml:space="preserve">deudo </w:t>
      </w:r>
      <w:r w:rsidRPr="00AA4D94">
        <w:rPr>
          <w:rFonts w:ascii="Palatino Linotype" w:eastAsiaTheme="minorEastAsia" w:hAnsi="Palatino Linotype" w:cs="Arial"/>
          <w:iCs/>
        </w:rPr>
        <w:t>actual d</w:t>
      </w:r>
      <w:r w:rsidR="00762419" w:rsidRPr="00AA4D94">
        <w:rPr>
          <w:rFonts w:ascii="Palatino Linotype" w:eastAsiaTheme="minorEastAsia" w:hAnsi="Palatino Linotype" w:cs="Arial"/>
          <w:iCs/>
        </w:rPr>
        <w:t xml:space="preserve">el municipio por concepto de consumo de energía eléctrica en el alumbrado público ante </w:t>
      </w:r>
      <w:r w:rsidR="009223AC" w:rsidRPr="00AA4D94">
        <w:rPr>
          <w:rFonts w:ascii="Palatino Linotype" w:eastAsiaTheme="minorEastAsia" w:hAnsi="Palatino Linotype" w:cs="Arial"/>
          <w:iCs/>
        </w:rPr>
        <w:t xml:space="preserve">la </w:t>
      </w:r>
      <w:r w:rsidR="00762419" w:rsidRPr="00AA4D94">
        <w:rPr>
          <w:rFonts w:ascii="Palatino Linotype" w:eastAsiaTheme="minorEastAsia" w:hAnsi="Palatino Linotype" w:cs="Arial"/>
          <w:iCs/>
        </w:rPr>
        <w:t>CFE o cualquier otra empresa suministradora de energía eléctrica, desglos</w:t>
      </w:r>
      <w:r w:rsidRPr="00AA4D94">
        <w:rPr>
          <w:rFonts w:ascii="Palatino Linotype" w:eastAsiaTheme="minorEastAsia" w:hAnsi="Palatino Linotype" w:cs="Arial"/>
          <w:iCs/>
        </w:rPr>
        <w:t>ando</w:t>
      </w:r>
      <w:r w:rsidR="00762419" w:rsidRPr="00AA4D94">
        <w:rPr>
          <w:rFonts w:ascii="Palatino Linotype" w:eastAsiaTheme="minorEastAsia" w:hAnsi="Palatino Linotype" w:cs="Arial"/>
          <w:iCs/>
        </w:rPr>
        <w:t xml:space="preserve"> los montos acumulados por mes o fecha desde la cual no se ha realizado </w:t>
      </w:r>
      <w:r w:rsidRPr="00AA4D94">
        <w:rPr>
          <w:rFonts w:ascii="Palatino Linotype" w:eastAsiaTheme="minorEastAsia" w:hAnsi="Palatino Linotype" w:cs="Arial"/>
          <w:iCs/>
        </w:rPr>
        <w:t xml:space="preserve">el </w:t>
      </w:r>
      <w:r w:rsidR="00762419" w:rsidRPr="00AA4D94">
        <w:rPr>
          <w:rFonts w:ascii="Palatino Linotype" w:eastAsiaTheme="minorEastAsia" w:hAnsi="Palatino Linotype" w:cs="Arial"/>
          <w:iCs/>
        </w:rPr>
        <w:t>pago</w:t>
      </w:r>
      <w:r w:rsidRPr="00AA4D94">
        <w:rPr>
          <w:rFonts w:ascii="Palatino Linotype" w:eastAsiaTheme="minorEastAsia" w:hAnsi="Palatino Linotype" w:cs="Arial"/>
          <w:iCs/>
        </w:rPr>
        <w:t>.</w:t>
      </w:r>
    </w:p>
    <w:p w:rsidR="00762419" w:rsidRPr="00AA4D94" w:rsidRDefault="00B63402" w:rsidP="00B63402">
      <w:pPr>
        <w:pStyle w:val="Prrafodelista"/>
        <w:numPr>
          <w:ilvl w:val="0"/>
          <w:numId w:val="17"/>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 xml:space="preserve">Partidas </w:t>
      </w:r>
      <w:r w:rsidR="00762419" w:rsidRPr="00AA4D94">
        <w:rPr>
          <w:rFonts w:ascii="Palatino Linotype" w:eastAsiaTheme="minorEastAsia" w:hAnsi="Palatino Linotype" w:cs="Arial"/>
          <w:iCs/>
        </w:rPr>
        <w:t>presupuestales que se utilizaron y los montos que se erogaron dentro del presupuesto de egresos munic</w:t>
      </w:r>
      <w:r w:rsidR="00DA7F44" w:rsidRPr="00AA4D94">
        <w:rPr>
          <w:rFonts w:ascii="Palatino Linotype" w:eastAsiaTheme="minorEastAsia" w:hAnsi="Palatino Linotype" w:cs="Arial"/>
          <w:iCs/>
        </w:rPr>
        <w:t xml:space="preserve">ipal para el mantenimiento en </w:t>
      </w:r>
      <w:r w:rsidR="00762419" w:rsidRPr="00AA4D94">
        <w:rPr>
          <w:rFonts w:ascii="Palatino Linotype" w:eastAsiaTheme="minorEastAsia" w:hAnsi="Palatino Linotype" w:cs="Arial"/>
          <w:iCs/>
        </w:rPr>
        <w:t xml:space="preserve">el sistema de alumbrado público </w:t>
      </w:r>
      <w:r w:rsidRPr="00AA4D94">
        <w:rPr>
          <w:rFonts w:ascii="Palatino Linotype" w:eastAsiaTheme="minorEastAsia" w:hAnsi="Palatino Linotype" w:cs="Arial"/>
          <w:iCs/>
        </w:rPr>
        <w:t>del año 2013 al 13 de noviembre de 2018.</w:t>
      </w:r>
    </w:p>
    <w:p w:rsidR="00762419" w:rsidRPr="00AA4D94" w:rsidRDefault="00DA7F44" w:rsidP="00B63402">
      <w:pPr>
        <w:pStyle w:val="Prrafodelista"/>
        <w:numPr>
          <w:ilvl w:val="0"/>
          <w:numId w:val="17"/>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lastRenderedPageBreak/>
        <w:t>P</w:t>
      </w:r>
      <w:r w:rsidR="00762419" w:rsidRPr="00AA4D94">
        <w:rPr>
          <w:rFonts w:ascii="Palatino Linotype" w:eastAsiaTheme="minorEastAsia" w:hAnsi="Palatino Linotype" w:cs="Arial"/>
          <w:iCs/>
        </w:rPr>
        <w:t xml:space="preserve">artidas presupuestales que se utilizaron y los montos que se pagaron por mes para cubrir la factura por concepto de consumo de energía eléctrica en el sistema de alumbrado público municipal </w:t>
      </w:r>
      <w:r w:rsidR="00B63402" w:rsidRPr="00AA4D94">
        <w:rPr>
          <w:rFonts w:ascii="Palatino Linotype" w:eastAsiaTheme="minorEastAsia" w:hAnsi="Palatino Linotype" w:cs="Arial"/>
          <w:iCs/>
        </w:rPr>
        <w:t>del año 2013 al 13 de noviembre de 2018.</w:t>
      </w:r>
    </w:p>
    <w:p w:rsidR="00DA7F44" w:rsidRPr="00AA4D94" w:rsidRDefault="00762419" w:rsidP="00D84227">
      <w:pPr>
        <w:pStyle w:val="Prrafodelista"/>
        <w:numPr>
          <w:ilvl w:val="0"/>
          <w:numId w:val="17"/>
        </w:numPr>
        <w:autoSpaceDE w:val="0"/>
        <w:autoSpaceDN w:val="0"/>
        <w:adjustRightInd w:val="0"/>
        <w:spacing w:before="120" w:after="120" w:line="360" w:lineRule="auto"/>
        <w:ind w:right="709"/>
        <w:jc w:val="both"/>
        <w:rPr>
          <w:rFonts w:ascii="Palatino Linotype" w:hAnsi="Palatino Linotype" w:cs="Arial"/>
        </w:rPr>
      </w:pPr>
      <w:r w:rsidRPr="00AA4D94">
        <w:rPr>
          <w:rFonts w:ascii="Palatino Linotype" w:eastAsiaTheme="minorEastAsia" w:hAnsi="Palatino Linotype" w:cs="Arial"/>
          <w:iCs/>
        </w:rPr>
        <w:t>En caso de mantenimiento preventivo, correctivo o la sustitución de luminarias</w:t>
      </w:r>
      <w:r w:rsidR="00DA7F44" w:rsidRPr="00AA4D94">
        <w:rPr>
          <w:rFonts w:ascii="Palatino Linotype" w:eastAsiaTheme="minorEastAsia" w:hAnsi="Palatino Linotype" w:cs="Arial"/>
          <w:iCs/>
        </w:rPr>
        <w:t xml:space="preserve"> realizado por el municipio o una empresa privada: el </w:t>
      </w:r>
      <w:r w:rsidR="00DA7F44" w:rsidRPr="00AA4D94">
        <w:rPr>
          <w:rFonts w:ascii="Palatino Linotype" w:hAnsi="Palatino Linotype" w:cs="Arial"/>
        </w:rPr>
        <w:t>número de luminarias que fueron sustituidas, arregladas o transformadas, así como las características y los lugares donde se sustituyeron, colocaron, corrigieron o arreglaron</w:t>
      </w:r>
      <w:r w:rsidR="00DA7F44" w:rsidRPr="00AA4D94">
        <w:rPr>
          <w:rFonts w:ascii="Palatino Linotype" w:eastAsiaTheme="minorEastAsia" w:hAnsi="Palatino Linotype" w:cs="Arial"/>
          <w:iCs/>
        </w:rPr>
        <w:t xml:space="preserve"> del año 2013 al 13 de noviembre de 2018</w:t>
      </w:r>
      <w:r w:rsidR="00DA7F44" w:rsidRPr="00AA4D94">
        <w:rPr>
          <w:rFonts w:ascii="Palatino Linotype" w:hAnsi="Palatino Linotype" w:cs="Arial"/>
        </w:rPr>
        <w:t>.</w:t>
      </w:r>
    </w:p>
    <w:p w:rsidR="00287A4B" w:rsidRPr="00AA4D94" w:rsidRDefault="00287A4B" w:rsidP="00B63402">
      <w:pPr>
        <w:pStyle w:val="Prrafodelista"/>
        <w:widowControl w:val="0"/>
        <w:numPr>
          <w:ilvl w:val="0"/>
          <w:numId w:val="13"/>
        </w:numPr>
        <w:tabs>
          <w:tab w:val="left" w:pos="1701"/>
          <w:tab w:val="left" w:pos="1843"/>
        </w:tabs>
        <w:autoSpaceDE w:val="0"/>
        <w:autoSpaceDN w:val="0"/>
        <w:adjustRightInd w:val="0"/>
        <w:spacing w:before="120" w:after="120" w:line="360" w:lineRule="auto"/>
        <w:ind w:left="357" w:hanging="357"/>
        <w:jc w:val="both"/>
        <w:rPr>
          <w:rFonts w:ascii="Palatino Linotype" w:hAnsi="Palatino Linotype" w:cs="Arial"/>
          <w:color w:val="000000" w:themeColor="text1"/>
        </w:rPr>
      </w:pPr>
      <w:r w:rsidRPr="00AA4D94">
        <w:rPr>
          <w:rFonts w:ascii="Palatino Linotype" w:hAnsi="Palatino Linotype" w:cs="Arial"/>
          <w:color w:val="000000" w:themeColor="text1"/>
        </w:rPr>
        <w:t>Por lo que hace a la “</w:t>
      </w:r>
      <w:r w:rsidRPr="00AA4D94">
        <w:rPr>
          <w:rFonts w:ascii="Palatino Linotype" w:eastAsiaTheme="minorEastAsia" w:hAnsi="Palatino Linotype" w:cs="Arial"/>
          <w:b/>
          <w:bCs/>
          <w:i/>
        </w:rPr>
        <w:t>INFRAESTRUCTURA DEL SISTEMA DE ALUMBRADO PÚBLICO”</w:t>
      </w:r>
      <w:r w:rsidRPr="00AA4D94">
        <w:rPr>
          <w:rFonts w:ascii="Palatino Linotype" w:eastAsiaTheme="minorEastAsia" w:hAnsi="Palatino Linotype" w:cs="Arial"/>
          <w:bCs/>
        </w:rPr>
        <w:t>:</w:t>
      </w:r>
    </w:p>
    <w:p w:rsidR="00762419" w:rsidRPr="00AA4D94" w:rsidRDefault="00DA7F44" w:rsidP="00B63402">
      <w:pPr>
        <w:pStyle w:val="Prrafodelista"/>
        <w:numPr>
          <w:ilvl w:val="0"/>
          <w:numId w:val="18"/>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 xml:space="preserve">El </w:t>
      </w:r>
      <w:r w:rsidR="00762419" w:rsidRPr="00AA4D94">
        <w:rPr>
          <w:rFonts w:ascii="Palatino Linotype" w:eastAsiaTheme="minorEastAsia" w:hAnsi="Palatino Linotype" w:cs="Arial"/>
          <w:iCs/>
        </w:rPr>
        <w:t>censo de alumbrado público de los ejercicios 2016</w:t>
      </w:r>
      <w:r w:rsidRPr="00AA4D94">
        <w:rPr>
          <w:rFonts w:ascii="Palatino Linotype" w:eastAsiaTheme="minorEastAsia" w:hAnsi="Palatino Linotype" w:cs="Arial"/>
          <w:iCs/>
        </w:rPr>
        <w:t xml:space="preserve"> a</w:t>
      </w:r>
      <w:r w:rsidR="00762419" w:rsidRPr="00AA4D94">
        <w:rPr>
          <w:rFonts w:ascii="Palatino Linotype" w:eastAsiaTheme="minorEastAsia" w:hAnsi="Palatino Linotype" w:cs="Arial"/>
          <w:iCs/>
        </w:rPr>
        <w:t xml:space="preserve"> 2018 o</w:t>
      </w:r>
      <w:r w:rsidR="006F25D5" w:rsidRPr="00AA4D94">
        <w:rPr>
          <w:rFonts w:ascii="Palatino Linotype" w:eastAsiaTheme="minorEastAsia" w:hAnsi="Palatino Linotype" w:cs="Arial"/>
          <w:iCs/>
        </w:rPr>
        <w:t>,</w:t>
      </w:r>
      <w:r w:rsidR="00762419" w:rsidRPr="00AA4D94">
        <w:rPr>
          <w:rFonts w:ascii="Palatino Linotype" w:eastAsiaTheme="minorEastAsia" w:hAnsi="Palatino Linotype" w:cs="Arial"/>
          <w:iCs/>
        </w:rPr>
        <w:t xml:space="preserve"> en su caso, el censo más reciente del municipio, desglos</w:t>
      </w:r>
      <w:r w:rsidR="006F25D5" w:rsidRPr="00AA4D94">
        <w:rPr>
          <w:rFonts w:ascii="Palatino Linotype" w:eastAsiaTheme="minorEastAsia" w:hAnsi="Palatino Linotype" w:cs="Arial"/>
          <w:iCs/>
        </w:rPr>
        <w:t>ando lo</w:t>
      </w:r>
      <w:r w:rsidR="00762419" w:rsidRPr="00AA4D94">
        <w:rPr>
          <w:rFonts w:ascii="Palatino Linotype" w:eastAsiaTheme="minorEastAsia" w:hAnsi="Palatino Linotype" w:cs="Arial"/>
          <w:iCs/>
        </w:rPr>
        <w:t xml:space="preserve"> siguiente</w:t>
      </w:r>
      <w:r w:rsidR="006F25D5" w:rsidRPr="00AA4D94">
        <w:rPr>
          <w:rFonts w:ascii="Palatino Linotype" w:eastAsiaTheme="minorEastAsia" w:hAnsi="Palatino Linotype" w:cs="Arial"/>
          <w:iCs/>
        </w:rPr>
        <w:t>:</w:t>
      </w:r>
    </w:p>
    <w:p w:rsidR="00762419" w:rsidRPr="00AA4D94" w:rsidRDefault="00A32037" w:rsidP="00B63402">
      <w:pPr>
        <w:pStyle w:val="Prrafodelista"/>
        <w:numPr>
          <w:ilvl w:val="0"/>
          <w:numId w:val="22"/>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hAnsi="Palatino Linotype" w:cs="Arial"/>
        </w:rPr>
        <w:t xml:space="preserve">Número de </w:t>
      </w:r>
      <w:r w:rsidR="00762419" w:rsidRPr="00AA4D94">
        <w:rPr>
          <w:rFonts w:ascii="Palatino Linotype" w:eastAsiaTheme="minorEastAsia" w:hAnsi="Palatino Linotype" w:cs="Arial"/>
        </w:rPr>
        <w:t>luminarias y balastros, tipo de equipos, capacidad, ubicación y tipo de poste en el que están montadas las luminarias</w:t>
      </w:r>
      <w:r w:rsidRPr="00AA4D94">
        <w:rPr>
          <w:rFonts w:ascii="Palatino Linotype" w:eastAsiaTheme="minorEastAsia" w:hAnsi="Palatino Linotype" w:cs="Arial"/>
        </w:rPr>
        <w:t>.</w:t>
      </w:r>
    </w:p>
    <w:p w:rsidR="00762419" w:rsidRPr="00AA4D94" w:rsidRDefault="00762419" w:rsidP="00B63402">
      <w:pPr>
        <w:pStyle w:val="Prrafodelista"/>
        <w:numPr>
          <w:ilvl w:val="0"/>
          <w:numId w:val="22"/>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Registro Permanente de Usuario (RPU) asignado al servicio de alumbrado público municipal tanto del servicio estimado como medido</w:t>
      </w:r>
      <w:r w:rsidR="00A32037" w:rsidRPr="00AA4D94">
        <w:rPr>
          <w:rFonts w:ascii="Palatino Linotype" w:eastAsiaTheme="minorEastAsia" w:hAnsi="Palatino Linotype" w:cs="Arial"/>
        </w:rPr>
        <w:t>.</w:t>
      </w:r>
    </w:p>
    <w:p w:rsidR="00762419" w:rsidRPr="00AA4D94" w:rsidRDefault="00A32037" w:rsidP="00B63402">
      <w:pPr>
        <w:pStyle w:val="Prrafodelista"/>
        <w:numPr>
          <w:ilvl w:val="0"/>
          <w:numId w:val="22"/>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hAnsi="Palatino Linotype" w:cs="Arial"/>
        </w:rPr>
        <w:t xml:space="preserve">Número de </w:t>
      </w:r>
      <w:r w:rsidR="00762419" w:rsidRPr="00AA4D94">
        <w:rPr>
          <w:rFonts w:ascii="Palatino Linotype" w:eastAsiaTheme="minorEastAsia" w:hAnsi="Palatino Linotype" w:cs="Arial"/>
        </w:rPr>
        <w:t>luminarias y balastros instalados, tipo de equipos y su capacidad</w:t>
      </w:r>
      <w:r w:rsidRPr="00AA4D94">
        <w:rPr>
          <w:rFonts w:ascii="Palatino Linotype" w:eastAsiaTheme="minorEastAsia" w:hAnsi="Palatino Linotype" w:cs="Arial"/>
        </w:rPr>
        <w:t>,</w:t>
      </w:r>
      <w:r w:rsidR="00762419" w:rsidRPr="00AA4D94">
        <w:rPr>
          <w:rFonts w:ascii="Palatino Linotype" w:eastAsiaTheme="minorEastAsia" w:hAnsi="Palatino Linotype" w:cs="Arial"/>
        </w:rPr>
        <w:t xml:space="preserve"> instalados en las aven</w:t>
      </w:r>
      <w:r w:rsidRPr="00AA4D94">
        <w:rPr>
          <w:rFonts w:ascii="Palatino Linotype" w:eastAsiaTheme="minorEastAsia" w:hAnsi="Palatino Linotype" w:cs="Arial"/>
        </w:rPr>
        <w:t>idas principales del municipio.</w:t>
      </w:r>
    </w:p>
    <w:p w:rsidR="00762419" w:rsidRPr="00AA4D94" w:rsidRDefault="00A32037" w:rsidP="00B63402">
      <w:pPr>
        <w:pStyle w:val="Prrafodelista"/>
        <w:numPr>
          <w:ilvl w:val="0"/>
          <w:numId w:val="22"/>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C</w:t>
      </w:r>
      <w:r w:rsidR="00762419" w:rsidRPr="00AA4D94">
        <w:rPr>
          <w:rFonts w:ascii="Palatino Linotype" w:eastAsiaTheme="minorEastAsia" w:hAnsi="Palatino Linotype" w:cs="Arial"/>
        </w:rPr>
        <w:t>antidad de luminarias y balastros instalados, tipo de equipos y su capacidad</w:t>
      </w:r>
      <w:r w:rsidRPr="00AA4D94">
        <w:rPr>
          <w:rFonts w:ascii="Palatino Linotype" w:eastAsiaTheme="minorEastAsia" w:hAnsi="Palatino Linotype" w:cs="Arial"/>
        </w:rPr>
        <w:t>,</w:t>
      </w:r>
      <w:r w:rsidR="00762419" w:rsidRPr="00AA4D94">
        <w:rPr>
          <w:rFonts w:ascii="Palatino Linotype" w:eastAsiaTheme="minorEastAsia" w:hAnsi="Palatino Linotype" w:cs="Arial"/>
        </w:rPr>
        <w:t xml:space="preserve"> instalados que poseen equipo de medición</w:t>
      </w:r>
      <w:r w:rsidRPr="00AA4D94">
        <w:rPr>
          <w:rFonts w:ascii="Palatino Linotype" w:eastAsiaTheme="minorEastAsia" w:hAnsi="Palatino Linotype" w:cs="Arial"/>
        </w:rPr>
        <w:t>.</w:t>
      </w:r>
    </w:p>
    <w:p w:rsidR="00762419" w:rsidRPr="00AA4D94" w:rsidRDefault="00762419" w:rsidP="00B63402">
      <w:pPr>
        <w:pStyle w:val="Prrafodelista"/>
        <w:numPr>
          <w:ilvl w:val="0"/>
          <w:numId w:val="18"/>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lastRenderedPageBreak/>
        <w:t xml:space="preserve">Del censo anterior al más reciente de luminarias y balastros del sistema de alumbrado público municipal que exista en el municipio, </w:t>
      </w:r>
      <w:r w:rsidR="00A32037" w:rsidRPr="00AA4D94">
        <w:rPr>
          <w:rFonts w:ascii="Palatino Linotype" w:eastAsiaTheme="minorEastAsia" w:hAnsi="Palatino Linotype" w:cs="Arial"/>
          <w:iCs/>
        </w:rPr>
        <w:t>lo siguiente:</w:t>
      </w:r>
    </w:p>
    <w:p w:rsidR="00762419" w:rsidRPr="00AA4D94" w:rsidRDefault="00A32037" w:rsidP="00B63402">
      <w:pPr>
        <w:pStyle w:val="Prrafodelista"/>
        <w:numPr>
          <w:ilvl w:val="0"/>
          <w:numId w:val="23"/>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hAnsi="Palatino Linotype" w:cs="Arial"/>
        </w:rPr>
        <w:t xml:space="preserve">Número de </w:t>
      </w:r>
      <w:r w:rsidR="00762419" w:rsidRPr="00AA4D94">
        <w:rPr>
          <w:rFonts w:ascii="Palatino Linotype" w:eastAsiaTheme="minorEastAsia" w:hAnsi="Palatino Linotype" w:cs="Arial"/>
        </w:rPr>
        <w:t xml:space="preserve">luminarias y balastros, tipo de equipos, capacidad, </w:t>
      </w:r>
      <w:r w:rsidRPr="00AA4D94">
        <w:rPr>
          <w:rFonts w:ascii="Palatino Linotype" w:eastAsiaTheme="minorEastAsia" w:hAnsi="Palatino Linotype" w:cs="Arial"/>
        </w:rPr>
        <w:t>ubicación</w:t>
      </w:r>
      <w:r w:rsidR="00762419" w:rsidRPr="00AA4D94">
        <w:rPr>
          <w:rFonts w:ascii="Palatino Linotype" w:eastAsiaTheme="minorEastAsia" w:hAnsi="Palatino Linotype" w:cs="Arial"/>
        </w:rPr>
        <w:t xml:space="preserve"> y tipo de poste en el que están montadas las luminarias.</w:t>
      </w:r>
    </w:p>
    <w:p w:rsidR="00762419" w:rsidRPr="00AA4D94" w:rsidRDefault="00762419" w:rsidP="00B63402">
      <w:pPr>
        <w:pStyle w:val="Prrafodelista"/>
        <w:numPr>
          <w:ilvl w:val="0"/>
          <w:numId w:val="23"/>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bCs/>
        </w:rPr>
        <w:t xml:space="preserve">Registro Permanente de Usuario </w:t>
      </w:r>
      <w:r w:rsidRPr="00AA4D94">
        <w:rPr>
          <w:rFonts w:ascii="Palatino Linotype" w:eastAsiaTheme="minorEastAsia" w:hAnsi="Palatino Linotype" w:cs="Arial"/>
        </w:rPr>
        <w:t xml:space="preserve">(RPU) asignado al servicio de alumbrado público municipal tanto del servicio estimado como </w:t>
      </w:r>
      <w:r w:rsidR="009223AC" w:rsidRPr="00AA4D94">
        <w:rPr>
          <w:rFonts w:ascii="Palatino Linotype" w:eastAsiaTheme="minorEastAsia" w:hAnsi="Palatino Linotype" w:cs="Arial"/>
        </w:rPr>
        <w:t>medido.</w:t>
      </w:r>
    </w:p>
    <w:p w:rsidR="00762419" w:rsidRPr="00AA4D94" w:rsidRDefault="00287A4B" w:rsidP="00B63402">
      <w:pPr>
        <w:pStyle w:val="Prrafodelista"/>
        <w:widowControl w:val="0"/>
        <w:numPr>
          <w:ilvl w:val="0"/>
          <w:numId w:val="13"/>
        </w:numPr>
        <w:tabs>
          <w:tab w:val="left" w:pos="1701"/>
          <w:tab w:val="left" w:pos="1843"/>
        </w:tabs>
        <w:autoSpaceDE w:val="0"/>
        <w:autoSpaceDN w:val="0"/>
        <w:adjustRightInd w:val="0"/>
        <w:spacing w:before="120" w:after="120" w:line="360" w:lineRule="auto"/>
        <w:ind w:left="357" w:hanging="357"/>
        <w:jc w:val="both"/>
        <w:rPr>
          <w:rFonts w:ascii="Palatino Linotype" w:eastAsiaTheme="minorEastAsia" w:hAnsi="Palatino Linotype" w:cs="Arial"/>
          <w:bCs/>
        </w:rPr>
      </w:pPr>
      <w:r w:rsidRPr="00AA4D94">
        <w:rPr>
          <w:rFonts w:ascii="Palatino Linotype" w:hAnsi="Palatino Linotype" w:cs="Arial"/>
          <w:color w:val="000000" w:themeColor="text1"/>
        </w:rPr>
        <w:t>En cuanto a la “</w:t>
      </w:r>
      <w:r w:rsidR="00762419" w:rsidRPr="00AA4D94">
        <w:rPr>
          <w:rFonts w:ascii="Palatino Linotype" w:eastAsiaTheme="minorEastAsia" w:hAnsi="Palatino Linotype" w:cs="Arial"/>
          <w:b/>
          <w:bCs/>
          <w:i/>
        </w:rPr>
        <w:t>COBERTURA (EXPANSIÓN) DEL SISTEMA DE ALUMBRADO PÚBLICO</w:t>
      </w:r>
      <w:r w:rsidRPr="00AA4D94">
        <w:rPr>
          <w:rFonts w:ascii="Palatino Linotype" w:eastAsiaTheme="minorEastAsia" w:hAnsi="Palatino Linotype" w:cs="Arial"/>
          <w:b/>
          <w:bCs/>
          <w:i/>
        </w:rPr>
        <w:t>”</w:t>
      </w:r>
      <w:r w:rsidRPr="00AA4D94">
        <w:rPr>
          <w:rFonts w:ascii="Palatino Linotype" w:eastAsiaTheme="minorEastAsia" w:hAnsi="Palatino Linotype" w:cs="Arial"/>
          <w:bCs/>
        </w:rPr>
        <w:t>:</w:t>
      </w:r>
    </w:p>
    <w:p w:rsidR="00762419" w:rsidRPr="00AA4D94" w:rsidRDefault="009223AC" w:rsidP="00B63402">
      <w:pPr>
        <w:pStyle w:val="Prrafodelista"/>
        <w:numPr>
          <w:ilvl w:val="0"/>
          <w:numId w:val="19"/>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P</w:t>
      </w:r>
      <w:r w:rsidR="00762419" w:rsidRPr="00AA4D94">
        <w:rPr>
          <w:rFonts w:ascii="Palatino Linotype" w:eastAsiaTheme="minorEastAsia" w:hAnsi="Palatino Linotype" w:cs="Arial"/>
          <w:iCs/>
        </w:rPr>
        <w:t xml:space="preserve">royecto de electrificación para ampliar el sistema de alumbrado público y ofrecer este servicio a las comunidades </w:t>
      </w:r>
      <w:r w:rsidR="00DA7F44" w:rsidRPr="00AA4D94">
        <w:rPr>
          <w:rFonts w:ascii="Palatino Linotype" w:eastAsiaTheme="minorEastAsia" w:hAnsi="Palatino Linotype" w:cs="Arial"/>
          <w:iCs/>
        </w:rPr>
        <w:t>del año 2013 al 13 de noviembre de 2018</w:t>
      </w:r>
      <w:r w:rsidR="00762419" w:rsidRPr="00AA4D94">
        <w:rPr>
          <w:rFonts w:ascii="Palatino Linotype" w:eastAsiaTheme="minorEastAsia" w:hAnsi="Palatino Linotype" w:cs="Arial"/>
          <w:iCs/>
        </w:rPr>
        <w:t xml:space="preserve">: </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Monto total de la inversión;</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T</w:t>
      </w:r>
      <w:r w:rsidR="00762419" w:rsidRPr="00AA4D94">
        <w:rPr>
          <w:rFonts w:ascii="Palatino Linotype" w:eastAsiaTheme="minorEastAsia" w:hAnsi="Palatino Linotype" w:cs="Arial"/>
        </w:rPr>
        <w:t>ipo o fuente de financiamiento</w:t>
      </w:r>
      <w:r w:rsidRPr="00AA4D94">
        <w:rPr>
          <w:rFonts w:ascii="Palatino Linotype" w:eastAsiaTheme="minorEastAsia" w:hAnsi="Palatino Linotype" w:cs="Arial"/>
        </w:rPr>
        <w:t>;</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hAnsi="Palatino Linotype" w:cs="Arial"/>
        </w:rPr>
        <w:t>Número</w:t>
      </w:r>
      <w:r w:rsidR="00762419" w:rsidRPr="00AA4D94">
        <w:rPr>
          <w:rFonts w:ascii="Palatino Linotype" w:eastAsiaTheme="minorEastAsia" w:hAnsi="Palatino Linotype" w:cs="Arial"/>
        </w:rPr>
        <w:t xml:space="preserve"> de equ</w:t>
      </w:r>
      <w:r w:rsidRPr="00AA4D94">
        <w:rPr>
          <w:rFonts w:ascii="Palatino Linotype" w:eastAsiaTheme="minorEastAsia" w:hAnsi="Palatino Linotype" w:cs="Arial"/>
        </w:rPr>
        <w:t>ipos colocados y/o sustituidos;</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T</w:t>
      </w:r>
      <w:r w:rsidR="00762419" w:rsidRPr="00AA4D94">
        <w:rPr>
          <w:rFonts w:ascii="Palatino Linotype" w:eastAsiaTheme="minorEastAsia" w:hAnsi="Palatino Linotype" w:cs="Arial"/>
        </w:rPr>
        <w:t>ipo de equipos</w:t>
      </w:r>
      <w:r w:rsidRPr="00AA4D94">
        <w:rPr>
          <w:rFonts w:ascii="Palatino Linotype" w:eastAsiaTheme="minorEastAsia" w:hAnsi="Palatino Linotype" w:cs="Arial"/>
        </w:rPr>
        <w:t>;</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Capacidad instalada;</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U</w:t>
      </w:r>
      <w:r w:rsidR="00762419" w:rsidRPr="00AA4D94">
        <w:rPr>
          <w:rFonts w:ascii="Palatino Linotype" w:eastAsiaTheme="minorEastAsia" w:hAnsi="Palatino Linotype" w:cs="Arial"/>
        </w:rPr>
        <w:t>bicación</w:t>
      </w:r>
      <w:r w:rsidRPr="00AA4D94">
        <w:rPr>
          <w:rFonts w:ascii="Palatino Linotype" w:eastAsiaTheme="minorEastAsia" w:hAnsi="Palatino Linotype" w:cs="Arial"/>
        </w:rPr>
        <w:t>;</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F</w:t>
      </w:r>
      <w:r w:rsidR="00762419" w:rsidRPr="00AA4D94">
        <w:rPr>
          <w:rFonts w:ascii="Palatino Linotype" w:eastAsiaTheme="minorEastAsia" w:hAnsi="Palatino Linotype" w:cs="Arial"/>
        </w:rPr>
        <w:t xml:space="preserve">echa de inicio y término de obra, </w:t>
      </w:r>
      <w:r w:rsidRPr="00AA4D94">
        <w:rPr>
          <w:rFonts w:ascii="Palatino Linotype" w:eastAsiaTheme="minorEastAsia" w:hAnsi="Palatino Linotype" w:cs="Arial"/>
        </w:rPr>
        <w:t>y</w:t>
      </w:r>
    </w:p>
    <w:p w:rsidR="00762419" w:rsidRPr="00AA4D94" w:rsidRDefault="009223AC"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F</w:t>
      </w:r>
      <w:r w:rsidR="00762419" w:rsidRPr="00AA4D94">
        <w:rPr>
          <w:rFonts w:ascii="Palatino Linotype" w:eastAsiaTheme="minorEastAsia" w:hAnsi="Palatino Linotype" w:cs="Arial"/>
        </w:rPr>
        <w:t xml:space="preserve">echa de modificación de su nuevo consumo en el sistema de facturación del alumbrado público ante </w:t>
      </w:r>
      <w:r w:rsidRPr="00AA4D94">
        <w:rPr>
          <w:rFonts w:ascii="Palatino Linotype" w:eastAsiaTheme="minorEastAsia" w:hAnsi="Palatino Linotype" w:cs="Arial"/>
        </w:rPr>
        <w:t>la CFE.</w:t>
      </w:r>
    </w:p>
    <w:p w:rsidR="00762419" w:rsidRPr="00AA4D94" w:rsidRDefault="00762419" w:rsidP="00B63402">
      <w:pPr>
        <w:pStyle w:val="Prrafodelista"/>
        <w:numPr>
          <w:ilvl w:val="0"/>
          <w:numId w:val="25"/>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lastRenderedPageBreak/>
        <w:t xml:space="preserve">En donde se notificaron o publicaron los proyectos. </w:t>
      </w:r>
    </w:p>
    <w:p w:rsidR="00287A4B" w:rsidRPr="00AA4D94" w:rsidRDefault="00287A4B" w:rsidP="00B63402">
      <w:pPr>
        <w:pStyle w:val="Prrafodelista"/>
        <w:widowControl w:val="0"/>
        <w:numPr>
          <w:ilvl w:val="0"/>
          <w:numId w:val="13"/>
        </w:numPr>
        <w:tabs>
          <w:tab w:val="left" w:pos="1701"/>
          <w:tab w:val="left" w:pos="1843"/>
        </w:tabs>
        <w:autoSpaceDE w:val="0"/>
        <w:autoSpaceDN w:val="0"/>
        <w:adjustRightInd w:val="0"/>
        <w:spacing w:before="120" w:after="120" w:line="360" w:lineRule="auto"/>
        <w:ind w:left="357" w:hanging="357"/>
        <w:jc w:val="both"/>
        <w:rPr>
          <w:rFonts w:ascii="Palatino Linotype" w:eastAsiaTheme="minorEastAsia" w:hAnsi="Palatino Linotype" w:cs="Arial"/>
          <w:bCs/>
        </w:rPr>
      </w:pPr>
      <w:r w:rsidRPr="00AA4D94">
        <w:rPr>
          <w:rFonts w:ascii="Palatino Linotype" w:hAnsi="Palatino Linotype" w:cs="Arial"/>
          <w:color w:val="000000" w:themeColor="text1"/>
        </w:rPr>
        <w:t>Respecto de la “</w:t>
      </w:r>
      <w:r w:rsidRPr="00AA4D94">
        <w:rPr>
          <w:rFonts w:ascii="Palatino Linotype" w:eastAsiaTheme="minorEastAsia" w:hAnsi="Palatino Linotype" w:cs="Arial"/>
          <w:b/>
          <w:bCs/>
          <w:i/>
        </w:rPr>
        <w:t>MODERNIZACIÓN DEL SISTEMA DE ALUMBRADO PÚBLICO”</w:t>
      </w:r>
      <w:r w:rsidRPr="00AA4D94">
        <w:rPr>
          <w:rFonts w:ascii="Palatino Linotype" w:eastAsiaTheme="minorEastAsia" w:hAnsi="Palatino Linotype" w:cs="Arial"/>
          <w:bCs/>
        </w:rPr>
        <w:t>:</w:t>
      </w:r>
    </w:p>
    <w:p w:rsidR="00762419" w:rsidRPr="00AA4D94" w:rsidRDefault="009223AC" w:rsidP="00B63402">
      <w:pPr>
        <w:pStyle w:val="Prrafodelista"/>
        <w:numPr>
          <w:ilvl w:val="0"/>
          <w:numId w:val="24"/>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P</w:t>
      </w:r>
      <w:r w:rsidR="00762419" w:rsidRPr="00AA4D94">
        <w:rPr>
          <w:rFonts w:ascii="Palatino Linotype" w:eastAsiaTheme="minorEastAsia" w:hAnsi="Palatino Linotype" w:cs="Arial"/>
          <w:iCs/>
        </w:rPr>
        <w:t>royecto de modernización de alumbrado público para generar eficiencia energética</w:t>
      </w:r>
      <w:r w:rsidRPr="00AA4D94">
        <w:rPr>
          <w:rFonts w:ascii="Palatino Linotype" w:eastAsiaTheme="minorEastAsia" w:hAnsi="Palatino Linotype" w:cs="Arial"/>
          <w:iCs/>
        </w:rPr>
        <w:t xml:space="preserve"> </w:t>
      </w:r>
      <w:r w:rsidR="00762419" w:rsidRPr="00AA4D94">
        <w:rPr>
          <w:rFonts w:ascii="Palatino Linotype" w:eastAsiaTheme="minorEastAsia" w:hAnsi="Palatino Linotype" w:cs="Arial"/>
          <w:iCs/>
        </w:rPr>
        <w:t xml:space="preserve">en sus consumos </w:t>
      </w:r>
      <w:r w:rsidR="00DA7F44" w:rsidRPr="00AA4D94">
        <w:rPr>
          <w:rFonts w:ascii="Palatino Linotype" w:eastAsiaTheme="minorEastAsia" w:hAnsi="Palatino Linotype" w:cs="Arial"/>
          <w:iCs/>
        </w:rPr>
        <w:t>del año 2013 al 13 de noviembre de 2018</w:t>
      </w:r>
      <w:r w:rsidR="00762419" w:rsidRPr="00AA4D94">
        <w:rPr>
          <w:rFonts w:ascii="Palatino Linotype" w:eastAsiaTheme="minorEastAsia" w:hAnsi="Palatino Linotype" w:cs="Arial"/>
          <w:iCs/>
        </w:rPr>
        <w:t xml:space="preserve">: </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Monto total de la inversión;</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T</w:t>
      </w:r>
      <w:r w:rsidR="00762419" w:rsidRPr="00AA4D94">
        <w:rPr>
          <w:rFonts w:ascii="Palatino Linotype" w:eastAsiaTheme="minorEastAsia" w:hAnsi="Palatino Linotype" w:cs="Arial"/>
        </w:rPr>
        <w:t>ipo o fuente de financiamiento</w:t>
      </w:r>
      <w:r w:rsidRPr="00AA4D94">
        <w:rPr>
          <w:rFonts w:ascii="Palatino Linotype" w:eastAsiaTheme="minorEastAsia" w:hAnsi="Palatino Linotype" w:cs="Arial"/>
        </w:rPr>
        <w:t>;</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hAnsi="Palatino Linotype" w:cs="Arial"/>
        </w:rPr>
        <w:t>Número</w:t>
      </w:r>
      <w:r w:rsidRPr="00AA4D94">
        <w:rPr>
          <w:rFonts w:ascii="Palatino Linotype" w:eastAsiaTheme="minorEastAsia" w:hAnsi="Palatino Linotype" w:cs="Arial"/>
        </w:rPr>
        <w:t xml:space="preserve"> </w:t>
      </w:r>
      <w:r w:rsidR="00762419" w:rsidRPr="00AA4D94">
        <w:rPr>
          <w:rFonts w:ascii="Palatino Linotype" w:eastAsiaTheme="minorEastAsia" w:hAnsi="Palatino Linotype" w:cs="Arial"/>
        </w:rPr>
        <w:t xml:space="preserve">de equipos colocados y/o sustituidos, </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Ti</w:t>
      </w:r>
      <w:r w:rsidR="00762419" w:rsidRPr="00AA4D94">
        <w:rPr>
          <w:rFonts w:ascii="Palatino Linotype" w:eastAsiaTheme="minorEastAsia" w:hAnsi="Palatino Linotype" w:cs="Arial"/>
        </w:rPr>
        <w:t>po de equipos</w:t>
      </w:r>
      <w:r w:rsidRPr="00AA4D94">
        <w:rPr>
          <w:rFonts w:ascii="Palatino Linotype" w:eastAsiaTheme="minorEastAsia" w:hAnsi="Palatino Linotype" w:cs="Arial"/>
        </w:rPr>
        <w:t>;</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C</w:t>
      </w:r>
      <w:r w:rsidR="00762419" w:rsidRPr="00AA4D94">
        <w:rPr>
          <w:rFonts w:ascii="Palatino Linotype" w:eastAsiaTheme="minorEastAsia" w:hAnsi="Palatino Linotype" w:cs="Arial"/>
        </w:rPr>
        <w:t>apacidad instalada</w:t>
      </w:r>
      <w:r w:rsidRPr="00AA4D94">
        <w:rPr>
          <w:rFonts w:ascii="Palatino Linotype" w:eastAsiaTheme="minorEastAsia" w:hAnsi="Palatino Linotype" w:cs="Arial"/>
        </w:rPr>
        <w:t>;</w:t>
      </w:r>
      <w:r w:rsidR="00762419" w:rsidRPr="00AA4D94">
        <w:rPr>
          <w:rFonts w:ascii="Palatino Linotype" w:eastAsiaTheme="minorEastAsia" w:hAnsi="Palatino Linotype" w:cs="Arial"/>
        </w:rPr>
        <w:t xml:space="preserve"> </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U</w:t>
      </w:r>
      <w:r w:rsidR="00762419" w:rsidRPr="00AA4D94">
        <w:rPr>
          <w:rFonts w:ascii="Palatino Linotype" w:eastAsiaTheme="minorEastAsia" w:hAnsi="Palatino Linotype" w:cs="Arial"/>
        </w:rPr>
        <w:t>bicación</w:t>
      </w:r>
      <w:r w:rsidRPr="00AA4D94">
        <w:rPr>
          <w:rFonts w:ascii="Palatino Linotype" w:eastAsiaTheme="minorEastAsia" w:hAnsi="Palatino Linotype" w:cs="Arial"/>
        </w:rPr>
        <w:t>;</w:t>
      </w:r>
      <w:r w:rsidR="00762419" w:rsidRPr="00AA4D94">
        <w:rPr>
          <w:rFonts w:ascii="Palatino Linotype" w:eastAsiaTheme="minorEastAsia" w:hAnsi="Palatino Linotype" w:cs="Arial"/>
        </w:rPr>
        <w:t xml:space="preserve"> </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F</w:t>
      </w:r>
      <w:r w:rsidR="00762419" w:rsidRPr="00AA4D94">
        <w:rPr>
          <w:rFonts w:ascii="Palatino Linotype" w:eastAsiaTheme="minorEastAsia" w:hAnsi="Palatino Linotype" w:cs="Arial"/>
        </w:rPr>
        <w:t>e</w:t>
      </w:r>
      <w:r w:rsidRPr="00AA4D94">
        <w:rPr>
          <w:rFonts w:ascii="Palatino Linotype" w:eastAsiaTheme="minorEastAsia" w:hAnsi="Palatino Linotype" w:cs="Arial"/>
        </w:rPr>
        <w:t>cha de inicio y término de obra;</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G</w:t>
      </w:r>
      <w:r w:rsidR="00762419" w:rsidRPr="00AA4D94">
        <w:rPr>
          <w:rFonts w:ascii="Palatino Linotype" w:eastAsiaTheme="minorEastAsia" w:hAnsi="Palatino Linotype" w:cs="Arial"/>
        </w:rPr>
        <w:t>eorreferenciación de cada uno de los puntos de l</w:t>
      </w:r>
      <w:r w:rsidRPr="00AA4D94">
        <w:rPr>
          <w:rFonts w:ascii="Palatino Linotype" w:eastAsiaTheme="minorEastAsia" w:hAnsi="Palatino Linotype" w:cs="Arial"/>
        </w:rPr>
        <w:t>uz del nuevo alumbrado público;</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F</w:t>
      </w:r>
      <w:r w:rsidR="00762419" w:rsidRPr="00AA4D94">
        <w:rPr>
          <w:rFonts w:ascii="Palatino Linotype" w:eastAsiaTheme="minorEastAsia" w:hAnsi="Palatino Linotype" w:cs="Arial"/>
        </w:rPr>
        <w:t xml:space="preserve">echa de modificación de su nuevo consumo en el sistema de facturación del alumbrado público ante </w:t>
      </w:r>
      <w:r w:rsidRPr="00AA4D94">
        <w:rPr>
          <w:rFonts w:ascii="Palatino Linotype" w:eastAsiaTheme="minorEastAsia" w:hAnsi="Palatino Linotype" w:cs="Arial"/>
        </w:rPr>
        <w:t>la CFE;</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hAnsi="Palatino Linotype" w:cs="Arial"/>
        </w:rPr>
        <w:t>Tipo de procedimiento para la celebración del contrato celebrado para la adquisición de los nuevos equipos;</w:t>
      </w:r>
    </w:p>
    <w:p w:rsidR="00762419" w:rsidRPr="00AA4D94" w:rsidRDefault="00762419"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Número y nombre de las empresas concursantes o convo</w:t>
      </w:r>
      <w:r w:rsidR="009223AC" w:rsidRPr="00AA4D94">
        <w:rPr>
          <w:rFonts w:ascii="Palatino Linotype" w:eastAsiaTheme="minorEastAsia" w:hAnsi="Palatino Linotype" w:cs="Arial"/>
        </w:rPr>
        <w:t>cadas;</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lastRenderedPageBreak/>
        <w:t>C</w:t>
      </w:r>
      <w:r w:rsidR="00762419" w:rsidRPr="00AA4D94">
        <w:rPr>
          <w:rFonts w:ascii="Palatino Linotype" w:eastAsiaTheme="minorEastAsia" w:hAnsi="Palatino Linotype" w:cs="Arial"/>
        </w:rPr>
        <w:t xml:space="preserve">riterios de selección utilizados por el </w:t>
      </w:r>
      <w:r w:rsidRPr="00AA4D94">
        <w:rPr>
          <w:rFonts w:ascii="Palatino Linotype" w:eastAsiaTheme="minorEastAsia" w:hAnsi="Palatino Linotype" w:cs="Arial"/>
        </w:rPr>
        <w:t xml:space="preserve">Comité </w:t>
      </w:r>
      <w:r w:rsidR="00762419" w:rsidRPr="00AA4D94">
        <w:rPr>
          <w:rFonts w:ascii="Palatino Linotype" w:eastAsiaTheme="minorEastAsia" w:hAnsi="Palatino Linotype" w:cs="Arial"/>
        </w:rPr>
        <w:t xml:space="preserve">de </w:t>
      </w:r>
      <w:r w:rsidRPr="00AA4D94">
        <w:rPr>
          <w:rFonts w:ascii="Palatino Linotype" w:eastAsiaTheme="minorEastAsia" w:hAnsi="Palatino Linotype" w:cs="Arial"/>
        </w:rPr>
        <w:t xml:space="preserve">Adquisiciones </w:t>
      </w:r>
      <w:r w:rsidR="00762419" w:rsidRPr="00AA4D94">
        <w:rPr>
          <w:rFonts w:ascii="Palatino Linotype" w:eastAsiaTheme="minorEastAsia" w:hAnsi="Palatino Linotype" w:cs="Arial"/>
        </w:rPr>
        <w:t>para elegir a la empresa contratada para realizar la modernización de</w:t>
      </w:r>
      <w:r w:rsidRPr="00AA4D94">
        <w:rPr>
          <w:rFonts w:ascii="Palatino Linotype" w:eastAsiaTheme="minorEastAsia" w:hAnsi="Palatino Linotype" w:cs="Arial"/>
        </w:rPr>
        <w:t>l sistema de alumbrado público, y</w:t>
      </w:r>
    </w:p>
    <w:p w:rsidR="00762419" w:rsidRPr="00AA4D94" w:rsidRDefault="009223AC" w:rsidP="00DA7F44">
      <w:pPr>
        <w:pStyle w:val="Prrafodelista"/>
        <w:numPr>
          <w:ilvl w:val="0"/>
          <w:numId w:val="27"/>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A</w:t>
      </w:r>
      <w:r w:rsidR="00762419" w:rsidRPr="00AA4D94">
        <w:rPr>
          <w:rFonts w:ascii="Palatino Linotype" w:eastAsiaTheme="minorEastAsia" w:hAnsi="Palatino Linotype" w:cs="Arial"/>
        </w:rPr>
        <w:t>cta de cabildo en el cual se fundamenta, justifica, expone y autoriza el proyecto.</w:t>
      </w:r>
    </w:p>
    <w:p w:rsidR="00762419" w:rsidRPr="00AA4D94" w:rsidRDefault="009223AC" w:rsidP="00B63402">
      <w:pPr>
        <w:pStyle w:val="Prrafodelista"/>
        <w:numPr>
          <w:ilvl w:val="0"/>
          <w:numId w:val="24"/>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N</w:t>
      </w:r>
      <w:r w:rsidR="00762419" w:rsidRPr="00AA4D94">
        <w:rPr>
          <w:rFonts w:ascii="Palatino Linotype" w:eastAsiaTheme="minorEastAsia" w:hAnsi="Palatino Linotype" w:cs="Arial"/>
          <w:iCs/>
        </w:rPr>
        <w:t xml:space="preserve">úmero de solicitudes ciudadanas formales realizadas al municipio para ampliar el sistema de alumbrado público mediante proyectos de electrificación </w:t>
      </w:r>
      <w:r w:rsidR="00DA7F44" w:rsidRPr="00AA4D94">
        <w:rPr>
          <w:rFonts w:ascii="Palatino Linotype" w:eastAsiaTheme="minorEastAsia" w:hAnsi="Palatino Linotype" w:cs="Arial"/>
          <w:iCs/>
        </w:rPr>
        <w:t>del año 2013 al 13 de noviembre de 2018</w:t>
      </w:r>
      <w:r w:rsidR="00762419" w:rsidRPr="00AA4D94">
        <w:rPr>
          <w:rFonts w:ascii="Palatino Linotype" w:eastAsiaTheme="minorEastAsia" w:hAnsi="Palatino Linotype" w:cs="Arial"/>
          <w:iCs/>
        </w:rPr>
        <w:t xml:space="preserve">. </w:t>
      </w:r>
    </w:p>
    <w:p w:rsidR="00762419" w:rsidRPr="00AA4D94" w:rsidRDefault="009223AC" w:rsidP="00B63402">
      <w:pPr>
        <w:pStyle w:val="Prrafodelista"/>
        <w:numPr>
          <w:ilvl w:val="0"/>
          <w:numId w:val="24"/>
        </w:numPr>
        <w:autoSpaceDE w:val="0"/>
        <w:autoSpaceDN w:val="0"/>
        <w:adjustRightInd w:val="0"/>
        <w:spacing w:before="120" w:after="120" w:line="360" w:lineRule="auto"/>
        <w:ind w:right="709"/>
        <w:jc w:val="both"/>
        <w:rPr>
          <w:rFonts w:ascii="Palatino Linotype" w:eastAsiaTheme="minorEastAsia" w:hAnsi="Palatino Linotype" w:cs="Arial"/>
          <w:iCs/>
        </w:rPr>
      </w:pPr>
      <w:r w:rsidRPr="00AA4D94">
        <w:rPr>
          <w:rFonts w:ascii="Palatino Linotype" w:eastAsiaTheme="minorEastAsia" w:hAnsi="Palatino Linotype" w:cs="Arial"/>
          <w:iCs/>
        </w:rPr>
        <w:t>N</w:t>
      </w:r>
      <w:r w:rsidR="00762419" w:rsidRPr="00AA4D94">
        <w:rPr>
          <w:rFonts w:ascii="Palatino Linotype" w:eastAsiaTheme="minorEastAsia" w:hAnsi="Palatino Linotype" w:cs="Arial"/>
          <w:iCs/>
        </w:rPr>
        <w:t xml:space="preserve">úmero de solicitudes ciudadanas que fueron atendidas y concluidas para ampliar el sistema de alumbrado público </w:t>
      </w:r>
      <w:r w:rsidR="00DA7F44" w:rsidRPr="00AA4D94">
        <w:rPr>
          <w:rFonts w:ascii="Palatino Linotype" w:eastAsiaTheme="minorEastAsia" w:hAnsi="Palatino Linotype" w:cs="Arial"/>
          <w:iCs/>
        </w:rPr>
        <w:t>del año 2013 al 13 de noviembre de 2018</w:t>
      </w:r>
      <w:r w:rsidR="00287A4B" w:rsidRPr="00AA4D94">
        <w:rPr>
          <w:rFonts w:ascii="Palatino Linotype" w:eastAsiaTheme="minorEastAsia" w:hAnsi="Palatino Linotype" w:cs="Arial"/>
          <w:iCs/>
        </w:rPr>
        <w:t>.</w:t>
      </w:r>
    </w:p>
    <w:p w:rsidR="00287A4B" w:rsidRPr="00AA4D94" w:rsidRDefault="00287A4B" w:rsidP="00B63402">
      <w:pPr>
        <w:pStyle w:val="Prrafodelista"/>
        <w:widowControl w:val="0"/>
        <w:numPr>
          <w:ilvl w:val="0"/>
          <w:numId w:val="13"/>
        </w:numPr>
        <w:tabs>
          <w:tab w:val="left" w:pos="1701"/>
          <w:tab w:val="left" w:pos="1843"/>
        </w:tabs>
        <w:autoSpaceDE w:val="0"/>
        <w:autoSpaceDN w:val="0"/>
        <w:adjustRightInd w:val="0"/>
        <w:spacing w:before="120" w:after="120" w:line="360" w:lineRule="auto"/>
        <w:ind w:left="357" w:hanging="357"/>
        <w:jc w:val="both"/>
        <w:rPr>
          <w:rFonts w:ascii="Palatino Linotype" w:eastAsiaTheme="minorEastAsia" w:hAnsi="Palatino Linotype" w:cs="Arial"/>
          <w:bCs/>
        </w:rPr>
      </w:pPr>
      <w:r w:rsidRPr="00AA4D94">
        <w:rPr>
          <w:rFonts w:ascii="Palatino Linotype" w:hAnsi="Palatino Linotype" w:cs="Arial"/>
          <w:color w:val="000000" w:themeColor="text1"/>
        </w:rPr>
        <w:t>Finalmente, respecto de la “</w:t>
      </w:r>
      <w:r w:rsidRPr="00AA4D94">
        <w:rPr>
          <w:rFonts w:ascii="Palatino Linotype" w:eastAsiaTheme="minorEastAsia" w:hAnsi="Palatino Linotype" w:cs="Arial"/>
          <w:b/>
          <w:bCs/>
          <w:i/>
        </w:rPr>
        <w:t>ADMINISTRACIÓN DEL SERVICIO DE ALUMBRADO PÚBLICO”</w:t>
      </w:r>
      <w:r w:rsidRPr="00AA4D94">
        <w:rPr>
          <w:rFonts w:ascii="Palatino Linotype" w:eastAsiaTheme="minorEastAsia" w:hAnsi="Palatino Linotype" w:cs="Arial"/>
          <w:bCs/>
        </w:rPr>
        <w:t>:</w:t>
      </w:r>
    </w:p>
    <w:p w:rsidR="00762419" w:rsidRPr="00AA4D94" w:rsidRDefault="00762419" w:rsidP="00DA7F44">
      <w:pPr>
        <w:pStyle w:val="Prrafodelista"/>
        <w:numPr>
          <w:ilvl w:val="0"/>
          <w:numId w:val="28"/>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Contrato de prestación de servicios por concepto de suministro de energía eléctrica por parte de la CFE al municipio</w:t>
      </w:r>
      <w:r w:rsidR="009223AC" w:rsidRPr="00AA4D94">
        <w:rPr>
          <w:rFonts w:ascii="Palatino Linotype" w:eastAsiaTheme="minorEastAsia" w:hAnsi="Palatino Linotype" w:cs="Arial"/>
        </w:rPr>
        <w:t>.</w:t>
      </w:r>
    </w:p>
    <w:p w:rsidR="00762419" w:rsidRPr="00AA4D94" w:rsidRDefault="009223AC" w:rsidP="00DA7F44">
      <w:pPr>
        <w:pStyle w:val="Prrafodelista"/>
        <w:numPr>
          <w:ilvl w:val="0"/>
          <w:numId w:val="28"/>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C</w:t>
      </w:r>
      <w:r w:rsidR="00762419" w:rsidRPr="00AA4D94">
        <w:rPr>
          <w:rFonts w:ascii="Palatino Linotype" w:eastAsiaTheme="minorEastAsia" w:hAnsi="Palatino Linotype" w:cs="Arial"/>
        </w:rPr>
        <w:t>onvenio de “Peso por Peso” firm</w:t>
      </w:r>
      <w:r w:rsidRPr="00AA4D94">
        <w:rPr>
          <w:rFonts w:ascii="Palatino Linotype" w:eastAsiaTheme="minorEastAsia" w:hAnsi="Palatino Linotype" w:cs="Arial"/>
        </w:rPr>
        <w:t>ado entre la CFE y el municipio.</w:t>
      </w:r>
    </w:p>
    <w:p w:rsidR="00762419" w:rsidRPr="00AA4D94" w:rsidRDefault="009223AC" w:rsidP="00D84227">
      <w:pPr>
        <w:pStyle w:val="Prrafodelista"/>
        <w:numPr>
          <w:ilvl w:val="0"/>
          <w:numId w:val="28"/>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C</w:t>
      </w:r>
      <w:r w:rsidR="00762419" w:rsidRPr="00AA4D94">
        <w:rPr>
          <w:rFonts w:ascii="Palatino Linotype" w:eastAsiaTheme="minorEastAsia" w:hAnsi="Palatino Linotype" w:cs="Arial"/>
        </w:rPr>
        <w:t>onvenio para recaudar el Derecho de Alumbrado Público “DAP” firma</w:t>
      </w:r>
      <w:r w:rsidRPr="00AA4D94">
        <w:rPr>
          <w:rFonts w:ascii="Palatino Linotype" w:eastAsiaTheme="minorEastAsia" w:hAnsi="Palatino Linotype" w:cs="Arial"/>
        </w:rPr>
        <w:t>do entre la CFE y el municipio</w:t>
      </w:r>
      <w:r w:rsidR="00762419" w:rsidRPr="00AA4D94">
        <w:rPr>
          <w:rFonts w:ascii="Palatino Linotype" w:eastAsiaTheme="minorEastAsia" w:hAnsi="Palatino Linotype" w:cs="Arial"/>
        </w:rPr>
        <w:t>. Así como</w:t>
      </w:r>
      <w:r w:rsidRPr="00AA4D94">
        <w:rPr>
          <w:rFonts w:ascii="Palatino Linotype" w:eastAsiaTheme="minorEastAsia" w:hAnsi="Palatino Linotype" w:cs="Arial"/>
        </w:rPr>
        <w:t xml:space="preserve"> el monto de </w:t>
      </w:r>
      <w:r w:rsidR="00762419" w:rsidRPr="00AA4D94">
        <w:rPr>
          <w:rFonts w:ascii="Palatino Linotype" w:eastAsiaTheme="minorEastAsia" w:hAnsi="Palatino Linotype" w:cs="Arial"/>
        </w:rPr>
        <w:t>recaudación reportado por</w:t>
      </w:r>
      <w:r w:rsidRPr="00AA4D94">
        <w:rPr>
          <w:rFonts w:ascii="Palatino Linotype" w:eastAsiaTheme="minorEastAsia" w:hAnsi="Palatino Linotype" w:cs="Arial"/>
        </w:rPr>
        <w:t xml:space="preserve"> la</w:t>
      </w:r>
      <w:r w:rsidR="00762419" w:rsidRPr="00AA4D94">
        <w:rPr>
          <w:rFonts w:ascii="Palatino Linotype" w:eastAsiaTheme="minorEastAsia" w:hAnsi="Palatino Linotype" w:cs="Arial"/>
        </w:rPr>
        <w:t xml:space="preserve"> CFE al municipio </w:t>
      </w:r>
      <w:r w:rsidR="00DA7F44" w:rsidRPr="00AA4D94">
        <w:rPr>
          <w:rFonts w:ascii="Palatino Linotype" w:eastAsiaTheme="minorEastAsia" w:hAnsi="Palatino Linotype" w:cs="Arial"/>
        </w:rPr>
        <w:t>del año 2013 al 13 de noviembre de 2018</w:t>
      </w:r>
      <w:r w:rsidR="00762419" w:rsidRPr="00AA4D94">
        <w:rPr>
          <w:rFonts w:ascii="Palatino Linotype" w:eastAsiaTheme="minorEastAsia" w:hAnsi="Palatino Linotype" w:cs="Arial"/>
        </w:rPr>
        <w:t xml:space="preserve">. </w:t>
      </w:r>
    </w:p>
    <w:p w:rsidR="00762419" w:rsidRPr="00AA4D94" w:rsidRDefault="00FD5AB2" w:rsidP="00DA7F44">
      <w:pPr>
        <w:pStyle w:val="Prrafodelista"/>
        <w:numPr>
          <w:ilvl w:val="0"/>
          <w:numId w:val="28"/>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t>N</w:t>
      </w:r>
      <w:r w:rsidR="00762419" w:rsidRPr="00AA4D94">
        <w:rPr>
          <w:rFonts w:ascii="Palatino Linotype" w:eastAsiaTheme="minorEastAsia" w:hAnsi="Palatino Linotype" w:cs="Arial"/>
        </w:rPr>
        <w:t xml:space="preserve">úmero de juicios y controversias promovidos por particulares en contra del municipio por el cobro del Derecho de Alumbrado Público “DAP” </w:t>
      </w:r>
      <w:r w:rsidR="00DA7F44" w:rsidRPr="00AA4D94">
        <w:rPr>
          <w:rFonts w:ascii="Palatino Linotype" w:eastAsiaTheme="minorEastAsia" w:hAnsi="Palatino Linotype" w:cs="Arial"/>
        </w:rPr>
        <w:t>del año 2013 al 13 de noviembre de 2018</w:t>
      </w:r>
      <w:r w:rsidR="00762419" w:rsidRPr="00AA4D94">
        <w:rPr>
          <w:rFonts w:ascii="Palatino Linotype" w:eastAsiaTheme="minorEastAsia" w:hAnsi="Palatino Linotype" w:cs="Arial"/>
        </w:rPr>
        <w:t xml:space="preserve">. </w:t>
      </w:r>
    </w:p>
    <w:p w:rsidR="00762419" w:rsidRPr="00AA4D94" w:rsidRDefault="00FD5AB2" w:rsidP="00DA7F44">
      <w:pPr>
        <w:pStyle w:val="Prrafodelista"/>
        <w:numPr>
          <w:ilvl w:val="0"/>
          <w:numId w:val="28"/>
        </w:numPr>
        <w:autoSpaceDE w:val="0"/>
        <w:autoSpaceDN w:val="0"/>
        <w:adjustRightInd w:val="0"/>
        <w:spacing w:before="120" w:after="120" w:line="360" w:lineRule="auto"/>
        <w:ind w:right="709"/>
        <w:jc w:val="both"/>
        <w:rPr>
          <w:rFonts w:ascii="Palatino Linotype" w:eastAsiaTheme="minorEastAsia" w:hAnsi="Palatino Linotype" w:cs="Arial"/>
        </w:rPr>
      </w:pPr>
      <w:r w:rsidRPr="00AA4D94">
        <w:rPr>
          <w:rFonts w:ascii="Palatino Linotype" w:eastAsiaTheme="minorEastAsia" w:hAnsi="Palatino Linotype" w:cs="Arial"/>
        </w:rPr>
        <w:lastRenderedPageBreak/>
        <w:t>N</w:t>
      </w:r>
      <w:r w:rsidR="00762419" w:rsidRPr="00AA4D94">
        <w:rPr>
          <w:rFonts w:ascii="Palatino Linotype" w:eastAsiaTheme="minorEastAsia" w:hAnsi="Palatino Linotype" w:cs="Arial"/>
        </w:rPr>
        <w:t xml:space="preserve">úmero de juicios y controversias perdidos y ganados por el ayuntamiento (municipio) ante los particulares que reclaman el pago indebido del Derecho de Alumbrado Público </w:t>
      </w:r>
      <w:r w:rsidR="00DA7F44" w:rsidRPr="00AA4D94">
        <w:rPr>
          <w:rFonts w:ascii="Palatino Linotype" w:eastAsiaTheme="minorEastAsia" w:hAnsi="Palatino Linotype" w:cs="Arial"/>
        </w:rPr>
        <w:t>del año 2013 al 13 de noviembre de 2018</w:t>
      </w:r>
      <w:r w:rsidR="00762419" w:rsidRPr="00AA4D94">
        <w:rPr>
          <w:rFonts w:ascii="Palatino Linotype" w:eastAsiaTheme="minorEastAsia" w:hAnsi="Palatino Linotype" w:cs="Arial"/>
        </w:rPr>
        <w:t xml:space="preserve">. </w:t>
      </w:r>
    </w:p>
    <w:p w:rsidR="00762419" w:rsidRPr="00AA4D94" w:rsidRDefault="00FD5AB2" w:rsidP="00DA7F44">
      <w:pPr>
        <w:pStyle w:val="Prrafodelista"/>
        <w:numPr>
          <w:ilvl w:val="0"/>
          <w:numId w:val="28"/>
        </w:numPr>
        <w:autoSpaceDE w:val="0"/>
        <w:autoSpaceDN w:val="0"/>
        <w:adjustRightInd w:val="0"/>
        <w:spacing w:before="120" w:after="120" w:line="360" w:lineRule="auto"/>
        <w:ind w:right="709"/>
        <w:jc w:val="both"/>
        <w:rPr>
          <w:rFonts w:ascii="Palatino Linotype" w:eastAsiaTheme="minorEastAsia" w:hAnsi="Palatino Linotype" w:cs="Arial"/>
          <w:color w:val="000000"/>
        </w:rPr>
      </w:pPr>
      <w:r w:rsidRPr="00AA4D94">
        <w:rPr>
          <w:rFonts w:ascii="Palatino Linotype" w:eastAsiaTheme="minorEastAsia" w:hAnsi="Palatino Linotype" w:cs="Arial"/>
        </w:rPr>
        <w:t>N</w:t>
      </w:r>
      <w:r w:rsidR="00762419" w:rsidRPr="00AA4D94">
        <w:rPr>
          <w:rFonts w:ascii="Palatino Linotype" w:eastAsiaTheme="minorEastAsia" w:hAnsi="Palatino Linotype" w:cs="Arial"/>
        </w:rPr>
        <w:t>ormas y lineamientos que el municipio sigue para operar y proporcionar el servicio de alumbrado público municipal.</w:t>
      </w:r>
    </w:p>
    <w:p w:rsidR="001B4730" w:rsidRPr="00AA4D94" w:rsidRDefault="001B4730" w:rsidP="00C103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Ahora bien, como se aprecia del Resultando </w:t>
      </w:r>
      <w:r w:rsidR="0003347C" w:rsidRPr="00AA4D94">
        <w:rPr>
          <w:rFonts w:ascii="Palatino Linotype" w:hAnsi="Palatino Linotype" w:cs="Arial"/>
          <w:b/>
        </w:rPr>
        <w:fldChar w:fldCharType="begin"/>
      </w:r>
      <w:r w:rsidR="0003347C" w:rsidRPr="00AA4D94">
        <w:rPr>
          <w:rFonts w:ascii="Palatino Linotype" w:hAnsi="Palatino Linotype" w:cs="Arial"/>
          <w:b/>
        </w:rPr>
        <w:instrText xml:space="preserve"> REF _Ref2073371 \r \h  \* MERGEFORMAT </w:instrText>
      </w:r>
      <w:r w:rsidR="0003347C" w:rsidRPr="00AA4D94">
        <w:rPr>
          <w:rFonts w:ascii="Palatino Linotype" w:hAnsi="Palatino Linotype" w:cs="Arial"/>
          <w:b/>
        </w:rPr>
      </w:r>
      <w:r w:rsidR="0003347C" w:rsidRPr="00AA4D94">
        <w:rPr>
          <w:rFonts w:ascii="Palatino Linotype" w:hAnsi="Palatino Linotype" w:cs="Arial"/>
          <w:b/>
        </w:rPr>
        <w:fldChar w:fldCharType="separate"/>
      </w:r>
      <w:r w:rsidR="006231AF">
        <w:rPr>
          <w:rFonts w:ascii="Palatino Linotype" w:hAnsi="Palatino Linotype" w:cs="Arial"/>
          <w:b/>
        </w:rPr>
        <w:t>II</w:t>
      </w:r>
      <w:r w:rsidR="0003347C" w:rsidRPr="00AA4D94">
        <w:rPr>
          <w:rFonts w:ascii="Palatino Linotype" w:hAnsi="Palatino Linotype" w:cs="Arial"/>
          <w:b/>
        </w:rPr>
        <w:fldChar w:fldCharType="end"/>
      </w:r>
      <w:r w:rsidRPr="00AA4D94">
        <w:rPr>
          <w:rFonts w:ascii="Palatino Linotype" w:hAnsi="Palatino Linotype" w:cs="Arial"/>
          <w:b/>
        </w:rPr>
        <w:t xml:space="preserve"> </w:t>
      </w:r>
      <w:r w:rsidRPr="00AA4D94">
        <w:rPr>
          <w:rFonts w:ascii="Palatino Linotype" w:hAnsi="Palatino Linotype" w:cs="Arial"/>
        </w:rPr>
        <w:t xml:space="preserve">de la presente resolución, </w:t>
      </w:r>
      <w:r w:rsidRPr="00AA4D94">
        <w:rPr>
          <w:rFonts w:ascii="Palatino Linotype" w:hAnsi="Palatino Linotype" w:cs="Arial"/>
          <w:b/>
        </w:rPr>
        <w:t>EL SUJETO OBLIGADO</w:t>
      </w:r>
      <w:r w:rsidRPr="00AA4D94">
        <w:rPr>
          <w:rFonts w:ascii="Palatino Linotype" w:hAnsi="Palatino Linotype" w:cs="Arial"/>
        </w:rPr>
        <w:t xml:space="preserve"> </w:t>
      </w:r>
      <w:r w:rsidRPr="00AA4D94">
        <w:rPr>
          <w:rFonts w:ascii="Palatino Linotype" w:hAnsi="Palatino Linotype" w:cs="Arial"/>
          <w:b/>
        </w:rPr>
        <w:t>omitió dar</w:t>
      </w:r>
      <w:r w:rsidR="006041C5" w:rsidRPr="00AA4D94">
        <w:rPr>
          <w:rFonts w:ascii="Palatino Linotype" w:hAnsi="Palatino Linotype" w:cs="Arial"/>
          <w:b/>
        </w:rPr>
        <w:t xml:space="preserve"> trámite y </w:t>
      </w:r>
      <w:r w:rsidRPr="00AA4D94">
        <w:rPr>
          <w:rFonts w:ascii="Palatino Linotype" w:hAnsi="Palatino Linotype" w:cs="Arial"/>
          <w:b/>
        </w:rPr>
        <w:t>respuesta</w:t>
      </w:r>
      <w:r w:rsidRPr="00AA4D94">
        <w:rPr>
          <w:rFonts w:ascii="Palatino Linotype" w:hAnsi="Palatino Linotype" w:cs="Arial"/>
        </w:rPr>
        <w:t xml:space="preserve"> a la solicitud de acceso a la información pública número </w:t>
      </w:r>
      <w:r w:rsidR="004E6868" w:rsidRPr="00AA4D94">
        <w:rPr>
          <w:rFonts w:ascii="Palatino Linotype" w:hAnsi="Palatino Linotype"/>
          <w:b/>
          <w:bCs/>
        </w:rPr>
        <w:t>00028/DONAGUER/IP/2018</w:t>
      </w:r>
      <w:r w:rsidRPr="00AA4D94">
        <w:rPr>
          <w:rFonts w:ascii="Palatino Linotype" w:hAnsi="Palatino Linotype" w:cs="Arial"/>
        </w:rPr>
        <w:t xml:space="preserve">, por lo que </w:t>
      </w:r>
      <w:r w:rsidR="00404B4E" w:rsidRPr="00AA4D94">
        <w:rPr>
          <w:rFonts w:ascii="Palatino Linotype" w:hAnsi="Palatino Linotype" w:cs="Arial"/>
          <w:b/>
        </w:rPr>
        <w:t>LA RECURRENTE</w:t>
      </w:r>
      <w:r w:rsidRPr="00AA4D94">
        <w:rPr>
          <w:rFonts w:ascii="Palatino Linotype" w:hAnsi="Palatino Linotype"/>
          <w:color w:val="000000"/>
        </w:rPr>
        <w:t xml:space="preserve"> </w:t>
      </w:r>
      <w:r w:rsidRPr="00AA4D94">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AA4D94">
        <w:rPr>
          <w:rFonts w:ascii="Palatino Linotype" w:hAnsi="Palatino Linotype" w:cs="Arial"/>
          <w:b/>
        </w:rPr>
        <w:fldChar w:fldCharType="begin"/>
      </w:r>
      <w:r w:rsidRPr="00AA4D94">
        <w:rPr>
          <w:rFonts w:ascii="Palatino Linotype" w:hAnsi="Palatino Linotype" w:cs="Arial"/>
          <w:b/>
        </w:rPr>
        <w:instrText xml:space="preserve"> REF _Ref507070922 \r \h  \* MERGEFORMAT </w:instrText>
      </w:r>
      <w:r w:rsidRPr="00AA4D94">
        <w:rPr>
          <w:rFonts w:ascii="Palatino Linotype" w:hAnsi="Palatino Linotype" w:cs="Arial"/>
          <w:b/>
        </w:rPr>
      </w:r>
      <w:r w:rsidRPr="00AA4D94">
        <w:rPr>
          <w:rFonts w:ascii="Palatino Linotype" w:hAnsi="Palatino Linotype" w:cs="Arial"/>
          <w:b/>
        </w:rPr>
        <w:fldChar w:fldCharType="separate"/>
      </w:r>
      <w:r w:rsidR="006231AF">
        <w:rPr>
          <w:rFonts w:ascii="Palatino Linotype" w:hAnsi="Palatino Linotype" w:cs="Arial"/>
          <w:b/>
        </w:rPr>
        <w:t>III</w:t>
      </w:r>
      <w:r w:rsidRPr="00AA4D94">
        <w:rPr>
          <w:rFonts w:ascii="Palatino Linotype" w:hAnsi="Palatino Linotype" w:cs="Arial"/>
          <w:b/>
        </w:rPr>
        <w:fldChar w:fldCharType="end"/>
      </w:r>
      <w:r w:rsidRPr="00AA4D94">
        <w:rPr>
          <w:rFonts w:ascii="Palatino Linotype" w:hAnsi="Palatino Linotype" w:cs="Arial"/>
          <w:b/>
        </w:rPr>
        <w:t xml:space="preserve"> </w:t>
      </w:r>
      <w:r w:rsidRPr="00AA4D94">
        <w:rPr>
          <w:rFonts w:ascii="Palatino Linotype" w:hAnsi="Palatino Linotype" w:cs="Arial"/>
        </w:rPr>
        <w:t>de la presente resolución.</w:t>
      </w:r>
    </w:p>
    <w:p w:rsidR="00C1036C" w:rsidRPr="00AA4D94" w:rsidRDefault="00C1036C" w:rsidP="00C103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Por otra parte, de las constancias que obran en el </w:t>
      </w:r>
      <w:r w:rsidRPr="00AA4D94">
        <w:rPr>
          <w:rFonts w:ascii="Palatino Linotype" w:hAnsi="Palatino Linotype" w:cs="Arial"/>
          <w:b/>
        </w:rPr>
        <w:t>SAIMEX,</w:t>
      </w:r>
      <w:r w:rsidRPr="00AA4D94">
        <w:rPr>
          <w:rFonts w:ascii="Palatino Linotype" w:hAnsi="Palatino Linotype" w:cs="Arial"/>
        </w:rPr>
        <w:t xml:space="preserve"> se advierte que </w:t>
      </w:r>
      <w:r w:rsidR="00404B4E" w:rsidRPr="00AA4D94">
        <w:rPr>
          <w:rFonts w:ascii="Palatino Linotype" w:hAnsi="Palatino Linotype" w:cs="Arial"/>
          <w:b/>
        </w:rPr>
        <w:t>LA RECURRENTE</w:t>
      </w:r>
      <w:r w:rsidRPr="00AA4D94">
        <w:rPr>
          <w:rFonts w:ascii="Palatino Linotype" w:hAnsi="Palatino Linotype" w:cs="Arial"/>
        </w:rPr>
        <w:t xml:space="preserve"> no realizó manifestaciones o alegatos, ni ofreció los medios de prueba que a su derecho conviniera, mientras que </w:t>
      </w:r>
      <w:r w:rsidRPr="00AA4D94">
        <w:rPr>
          <w:rFonts w:ascii="Palatino Linotype" w:hAnsi="Palatino Linotype" w:cs="Arial"/>
          <w:b/>
        </w:rPr>
        <w:t>EL SUJETO OBLIGADO</w:t>
      </w:r>
      <w:r w:rsidRPr="00AA4D94">
        <w:rPr>
          <w:rFonts w:ascii="Palatino Linotype" w:hAnsi="Palatino Linotype" w:cs="Arial"/>
        </w:rPr>
        <w:t xml:space="preserve">, fue omiso en remitir el Informe Justificado </w:t>
      </w:r>
      <w:r w:rsidRPr="00AA4D94">
        <w:rPr>
          <w:rFonts w:ascii="Palatino Linotype" w:hAnsi="Palatino Linotype" w:cs="Arial"/>
          <w:color w:val="000000"/>
        </w:rPr>
        <w:t>correspondiente</w:t>
      </w:r>
      <w:r w:rsidRPr="00AA4D94">
        <w:rPr>
          <w:rFonts w:ascii="Palatino Linotype" w:hAnsi="Palatino Linotype" w:cs="Arial"/>
        </w:rPr>
        <w:t>.</w:t>
      </w:r>
    </w:p>
    <w:p w:rsidR="00C1036C" w:rsidRPr="00AA4D94" w:rsidRDefault="00C1036C" w:rsidP="00C103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Establecido lo anterior, esta Ponencia Resolutora advierte que </w:t>
      </w:r>
      <w:r w:rsidRPr="00AA4D94">
        <w:rPr>
          <w:rFonts w:ascii="Palatino Linotype" w:hAnsi="Palatino Linotype"/>
        </w:rPr>
        <w:t xml:space="preserve">resultan </w:t>
      </w:r>
      <w:r w:rsidRPr="00AA4D94">
        <w:rPr>
          <w:rFonts w:ascii="Palatino Linotype" w:hAnsi="Palatino Linotype"/>
          <w:b/>
        </w:rPr>
        <w:t xml:space="preserve">fundadas </w:t>
      </w:r>
      <w:r w:rsidRPr="00AA4D94">
        <w:rPr>
          <w:rFonts w:ascii="Palatino Linotype" w:hAnsi="Palatino Linotype" w:cs="Arial"/>
        </w:rPr>
        <w:t xml:space="preserve">las </w:t>
      </w:r>
      <w:r w:rsidRPr="00AA4D94">
        <w:rPr>
          <w:rFonts w:ascii="Palatino Linotype" w:hAnsi="Palatino Linotype"/>
        </w:rPr>
        <w:t>razones</w:t>
      </w:r>
      <w:r w:rsidRPr="00AA4D94">
        <w:rPr>
          <w:rFonts w:ascii="Palatino Linotype" w:hAnsi="Palatino Linotype" w:cs="Arial"/>
        </w:rPr>
        <w:t xml:space="preserve"> o motivos de </w:t>
      </w:r>
      <w:r w:rsidRPr="00AA4D94">
        <w:rPr>
          <w:rFonts w:ascii="Palatino Linotype" w:hAnsi="Palatino Linotype"/>
        </w:rPr>
        <w:t xml:space="preserve">inconformidad expuestas por </w:t>
      </w:r>
      <w:r w:rsidR="00404B4E" w:rsidRPr="00AA4D94">
        <w:rPr>
          <w:rFonts w:ascii="Palatino Linotype" w:hAnsi="Palatino Linotype" w:cs="Arial"/>
          <w:b/>
        </w:rPr>
        <w:t>LA RECURRENTE</w:t>
      </w:r>
      <w:r w:rsidRPr="00AA4D94">
        <w:rPr>
          <w:rFonts w:ascii="Palatino Linotype" w:hAnsi="Palatino Linotype"/>
        </w:rPr>
        <w:t xml:space="preserve">, </w:t>
      </w:r>
      <w:r w:rsidRPr="00AA4D94">
        <w:rPr>
          <w:rFonts w:ascii="Palatino Linotype" w:hAnsi="Palatino Linotype" w:cs="Arial"/>
        </w:rPr>
        <w:t xml:space="preserve">al configurarse la falta de respuesta a la solicitud </w:t>
      </w:r>
      <w:r w:rsidRPr="00AA4D94">
        <w:rPr>
          <w:rFonts w:ascii="Palatino Linotype" w:hAnsi="Palatino Linotype" w:cs="Arial"/>
          <w:bCs/>
        </w:rPr>
        <w:t xml:space="preserve">de acceso a la información pública </w:t>
      </w:r>
      <w:r w:rsidR="004E6868" w:rsidRPr="00AA4D94">
        <w:rPr>
          <w:rFonts w:ascii="Palatino Linotype" w:hAnsi="Palatino Linotype"/>
          <w:b/>
          <w:bCs/>
        </w:rPr>
        <w:t>00028/DONAGUER/IP/2018</w:t>
      </w:r>
      <w:r w:rsidRPr="00AA4D94">
        <w:rPr>
          <w:rFonts w:ascii="Palatino Linotype" w:hAnsi="Palatino Linotype"/>
        </w:rPr>
        <w:t xml:space="preserve">, </w:t>
      </w:r>
      <w:r w:rsidRPr="00AA4D94">
        <w:rPr>
          <w:rFonts w:ascii="Palatino Linotype" w:hAnsi="Palatino Linotype" w:cs="Arial"/>
        </w:rPr>
        <w:t xml:space="preserve">por parte del </w:t>
      </w:r>
      <w:r w:rsidRPr="00AA4D94">
        <w:rPr>
          <w:rFonts w:ascii="Palatino Linotype" w:hAnsi="Palatino Linotype" w:cs="Arial"/>
          <w:b/>
        </w:rPr>
        <w:t>SUJETO OBLIGADO</w:t>
      </w:r>
      <w:r w:rsidRPr="00AA4D94">
        <w:rPr>
          <w:rFonts w:ascii="Palatino Linotype" w:hAnsi="Palatino Linotype" w:cs="Arial"/>
        </w:rPr>
        <w:t>.</w:t>
      </w:r>
    </w:p>
    <w:p w:rsidR="00C1036C" w:rsidRPr="00AA4D94" w:rsidRDefault="00C1036C" w:rsidP="00C103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 xml:space="preserve">Ahora bien, es pertinente enfatizar lo que, respecto al derecho de acceso a la </w:t>
      </w:r>
      <w:r w:rsidRPr="00AA4D94">
        <w:rPr>
          <w:rStyle w:val="d"/>
          <w:rFonts w:eastAsia="Arial Unicode MS"/>
        </w:rPr>
        <w:t>información</w:t>
      </w:r>
      <w:r w:rsidRPr="00AA4D94">
        <w:rPr>
          <w:rFonts w:ascii="Palatino Linotype" w:hAnsi="Palatino Linotype" w:cs="Arial"/>
        </w:rPr>
        <w:t xml:space="preserve"> </w:t>
      </w:r>
      <w:r w:rsidRPr="00AA4D94">
        <w:rPr>
          <w:rFonts w:ascii="Palatino Linotype" w:hAnsi="Palatino Linotype" w:cs="Arial"/>
        </w:rPr>
        <w:lastRenderedPageBreak/>
        <w:t>pública, refiere el artículo 6° apartado A de la Constitución Política de los Estados Unidos Mexicanos, que en su parte conducente señala:</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Artículo 6o.</w:t>
      </w:r>
      <w:r w:rsidRPr="00AA4D9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A4D94">
        <w:rPr>
          <w:rFonts w:ascii="Palatino Linotype" w:hAnsi="Palatino Linotype" w:cs="Arial"/>
          <w:b/>
          <w:i/>
          <w:sz w:val="22"/>
          <w:szCs w:val="22"/>
        </w:rPr>
        <w:t>El derecho a la información será garantizado por el Estado.</w:t>
      </w:r>
      <w:r w:rsidRPr="00AA4D94">
        <w:rPr>
          <w:rFonts w:ascii="Palatino Linotype" w:hAnsi="Palatino Linotype" w:cs="Arial"/>
          <w:i/>
          <w:sz w:val="22"/>
          <w:szCs w:val="22"/>
        </w:rPr>
        <w:t xml:space="preserve"> </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Para efectos de lo dispuesto en el presente artículo se observará lo siguiente:</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b/>
          <w:i/>
          <w:sz w:val="22"/>
          <w:szCs w:val="22"/>
        </w:rPr>
        <w:t>A.</w:t>
      </w:r>
      <w:r w:rsidRPr="00AA4D9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b/>
          <w:i/>
          <w:sz w:val="22"/>
          <w:szCs w:val="22"/>
        </w:rPr>
        <w:t xml:space="preserve">I. </w:t>
      </w:r>
      <w:r w:rsidRPr="00AA4D94">
        <w:rPr>
          <w:rFonts w:ascii="Palatino Linotype" w:hAnsi="Palatino Linotype" w:cs="Arial"/>
          <w:b/>
          <w:i/>
          <w:sz w:val="22"/>
          <w:szCs w:val="22"/>
          <w:u w:val="single"/>
        </w:rPr>
        <w:t>Toda la información en posesión de</w:t>
      </w:r>
      <w:r w:rsidRPr="00AA4D94">
        <w:rPr>
          <w:rFonts w:ascii="Palatino Linotype" w:hAnsi="Palatino Linotype" w:cs="Arial"/>
          <w:i/>
          <w:sz w:val="22"/>
          <w:szCs w:val="22"/>
          <w:u w:val="single"/>
        </w:rPr>
        <w:t xml:space="preserve"> </w:t>
      </w:r>
      <w:r w:rsidRPr="00AA4D94">
        <w:rPr>
          <w:rFonts w:ascii="Palatino Linotype" w:hAnsi="Palatino Linotype" w:cs="Arial"/>
          <w:b/>
          <w:i/>
          <w:sz w:val="22"/>
          <w:szCs w:val="22"/>
          <w:u w:val="single"/>
        </w:rPr>
        <w:t>cualquier autoridad</w:t>
      </w:r>
      <w:r w:rsidRPr="00AA4D94">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A4D94">
        <w:rPr>
          <w:rFonts w:ascii="Palatino Linotype" w:hAnsi="Palatino Linotype" w:cs="Arial"/>
          <w:b/>
          <w:i/>
          <w:sz w:val="22"/>
          <w:szCs w:val="22"/>
          <w:u w:val="single"/>
        </w:rPr>
        <w:t>es pública</w:t>
      </w:r>
      <w:r w:rsidRPr="00AA4D94">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AA4D94">
        <w:rPr>
          <w:rFonts w:ascii="Palatino Linotype" w:hAnsi="Palatino Linotype" w:cs="Arial"/>
          <w:b/>
          <w:i/>
          <w:sz w:val="22"/>
          <w:szCs w:val="22"/>
          <w:u w:val="single"/>
        </w:rPr>
        <w:t>Los sujetos obligados deberán documentar todo acto que derive del ejercicio de sus facultades, competencias o funciones</w:t>
      </w:r>
      <w:r w:rsidRPr="00AA4D94">
        <w:rPr>
          <w:rFonts w:ascii="Palatino Linotype" w:hAnsi="Palatino Linotype" w:cs="Arial"/>
          <w:i/>
          <w:sz w:val="22"/>
          <w:szCs w:val="22"/>
        </w:rPr>
        <w:t>, la ley determinará los supuestos específicos bajo los cuales procederá la declaración de inexistencia de la información.</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II. La información que se refiere a la vida privada y los datos personales será protegida en los términos y con las excepciones que fijen las leyes.</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b/>
          <w:i/>
          <w:sz w:val="22"/>
          <w:szCs w:val="22"/>
        </w:rPr>
        <w:t xml:space="preserve">V. </w:t>
      </w:r>
      <w:r w:rsidRPr="00AA4D94">
        <w:rPr>
          <w:rFonts w:ascii="Palatino Linotype" w:hAnsi="Palatino Linotype" w:cs="Arial"/>
          <w:b/>
          <w:i/>
          <w:sz w:val="22"/>
          <w:szCs w:val="22"/>
          <w:u w:val="single"/>
        </w:rPr>
        <w:t xml:space="preserve">Los sujetos obligados deberán preservar sus documentos en archivos administrativos actualizados y publicarán, a través de los medios electrónicos </w:t>
      </w:r>
      <w:r w:rsidRPr="00AA4D94">
        <w:rPr>
          <w:rFonts w:ascii="Palatino Linotype" w:hAnsi="Palatino Linotype" w:cs="Arial"/>
          <w:b/>
          <w:i/>
          <w:sz w:val="22"/>
          <w:szCs w:val="22"/>
          <w:u w:val="single"/>
        </w:rPr>
        <w:lastRenderedPageBreak/>
        <w:t>disponibles</w:t>
      </w:r>
      <w:r w:rsidRPr="00AA4D94">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VII. La inobservancia a las disposiciones en materia de acceso a la información pública será sancionada en los términos que dispongan las leyes.</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La ley establecerá aquella información que se considere reservada o confidencial.”</w:t>
      </w:r>
    </w:p>
    <w:p w:rsidR="00C1036C" w:rsidRPr="00AA4D94" w:rsidRDefault="00C1036C" w:rsidP="006041C5">
      <w:pPr>
        <w:spacing w:before="160" w:after="16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C1036C" w:rsidRPr="00AA4D94" w:rsidRDefault="00C1036C" w:rsidP="00C103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t>Por su parte, la Constitución Política del Estado Libre y Soberano de México, en su artículo 5°, párrafos vigésimo, vigésimo primero y vigésimo segundo, fracciones I y VI, que disponen, en su parte conducente, lo siguiente:</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 xml:space="preserve">Artículo 5. </w:t>
      </w:r>
      <w:r w:rsidRPr="00AA4D94">
        <w:rPr>
          <w:rFonts w:ascii="Palatino Linotype" w:hAnsi="Palatino Linotype" w:cs="Arial"/>
          <w:i/>
          <w:sz w:val="22"/>
          <w:szCs w:val="22"/>
        </w:rPr>
        <w:t>[…]</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u w:val="single"/>
        </w:rPr>
        <w:t>El derecho a la información será garantizado por el Estado</w:t>
      </w:r>
      <w:r w:rsidRPr="00AA4D94">
        <w:rPr>
          <w:rFonts w:ascii="Palatino Linotype" w:hAnsi="Palatino Linotype"/>
          <w:i/>
          <w:sz w:val="22"/>
          <w:szCs w:val="22"/>
        </w:rPr>
        <w:t xml:space="preserve">. La ley establecerá las previsiones que permitan asegurar la protección, el respeto y la difusión de este derecho. </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Este derecho se regirá por los principios y bases siguientes:</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rPr>
        <w:t xml:space="preserve">I. </w:t>
      </w:r>
      <w:r w:rsidRPr="00AA4D94">
        <w:rPr>
          <w:rFonts w:ascii="Palatino Linotype" w:hAnsi="Palatino Linotype"/>
          <w:b/>
          <w:i/>
          <w:sz w:val="22"/>
          <w:szCs w:val="22"/>
          <w:u w:val="single"/>
        </w:rPr>
        <w:t>Toda la información en posesión</w:t>
      </w:r>
      <w:r w:rsidRPr="00AA4D94">
        <w:rPr>
          <w:rFonts w:ascii="Palatino Linotype" w:hAnsi="Palatino Linotype"/>
          <w:b/>
          <w:i/>
          <w:sz w:val="22"/>
          <w:szCs w:val="22"/>
        </w:rPr>
        <w:t xml:space="preserve"> </w:t>
      </w:r>
      <w:r w:rsidRPr="00AA4D94">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AA4D94">
        <w:rPr>
          <w:rFonts w:ascii="Palatino Linotype" w:hAnsi="Palatino Linotype"/>
          <w:b/>
          <w:i/>
          <w:sz w:val="22"/>
          <w:szCs w:val="22"/>
          <w:u w:val="single"/>
        </w:rPr>
        <w:t>del gobierno y de la administración pública municipal y sus organismos descentralizados</w:t>
      </w:r>
      <w:r w:rsidRPr="00AA4D94">
        <w:rPr>
          <w:rFonts w:ascii="Palatino Linotype" w:hAnsi="Palatino Linotype"/>
          <w:i/>
          <w:sz w:val="22"/>
          <w:szCs w:val="22"/>
        </w:rPr>
        <w:t xml:space="preserve">, </w:t>
      </w:r>
      <w:r w:rsidRPr="00AA4D94">
        <w:rPr>
          <w:rFonts w:ascii="Palatino Linotype" w:hAnsi="Palatino Linotype"/>
          <w:i/>
          <w:sz w:val="22"/>
          <w:szCs w:val="22"/>
        </w:rPr>
        <w:lastRenderedPageBreak/>
        <w:t xml:space="preserve">asimismo de cualquier persona física, jurídica colectiva o sindicato que reciba y ejerza recursos públicos o realice actos de autoridad en el ámbito estatal y municipal, </w:t>
      </w:r>
      <w:r w:rsidRPr="00AA4D94">
        <w:rPr>
          <w:rFonts w:ascii="Palatino Linotype" w:hAnsi="Palatino Linotype"/>
          <w:b/>
          <w:i/>
          <w:sz w:val="22"/>
          <w:szCs w:val="22"/>
          <w:u w:val="single"/>
        </w:rPr>
        <w:t>es pública</w:t>
      </w:r>
      <w:r w:rsidRPr="00AA4D94">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rPr>
        <w:t xml:space="preserve">VI. </w:t>
      </w:r>
      <w:r w:rsidRPr="00AA4D94">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AA4D94">
        <w:rPr>
          <w:rFonts w:ascii="Palatino Linotype" w:hAnsi="Palatino Linotype"/>
          <w:i/>
          <w:sz w:val="22"/>
          <w:szCs w:val="22"/>
        </w:rPr>
        <w:t xml:space="preserve"> y los indicadores que permitan rendir cuenta del cumplimiento de sus objetivos y los resultados obtenidos.”</w:t>
      </w:r>
    </w:p>
    <w:p w:rsidR="00C1036C" w:rsidRPr="00AA4D94" w:rsidRDefault="00C1036C" w:rsidP="006041C5">
      <w:pPr>
        <w:spacing w:before="160" w:after="16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C1036C" w:rsidRPr="00AA4D94" w:rsidRDefault="00C1036C" w:rsidP="00C1036C">
      <w:pPr>
        <w:pStyle w:val="Prrafodelista"/>
        <w:widowControl w:val="0"/>
        <w:autoSpaceDE w:val="0"/>
        <w:autoSpaceDN w:val="0"/>
        <w:adjustRightInd w:val="0"/>
        <w:spacing w:before="480" w:after="360" w:line="360" w:lineRule="auto"/>
        <w:ind w:left="0"/>
        <w:jc w:val="both"/>
        <w:rPr>
          <w:rFonts w:ascii="Palatino Linotype" w:hAnsi="Palatino Linotype" w:cs="Arial"/>
        </w:rPr>
      </w:pPr>
      <w:r w:rsidRPr="00AA4D94">
        <w:rPr>
          <w:rFonts w:ascii="Palatino Linotype" w:hAnsi="Palatino Linotype" w:cs="Arial"/>
        </w:rPr>
        <w:t>Por su parte, tenemos que la Ley de Transparencia y Acceso a la Información Pública del Estado de México y Municipios, prevé en su artículo 23, lo siguiente:</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w:t>
      </w:r>
      <w:r w:rsidRPr="00AA4D94">
        <w:rPr>
          <w:rFonts w:ascii="Palatino Linotype" w:hAnsi="Palatino Linotype" w:cs="Arial"/>
          <w:b/>
          <w:i/>
          <w:sz w:val="22"/>
          <w:szCs w:val="22"/>
        </w:rPr>
        <w:t xml:space="preserve">Artículo 23. </w:t>
      </w:r>
      <w:r w:rsidRPr="00AA4D94">
        <w:rPr>
          <w:rFonts w:ascii="Palatino Linotype" w:hAnsi="Palatino Linotype" w:cs="Arial"/>
          <w:b/>
          <w:i/>
          <w:sz w:val="22"/>
          <w:szCs w:val="22"/>
          <w:u w:val="single"/>
        </w:rPr>
        <w:t xml:space="preserve">Son sujetos obligados a transparentar y permitir el acceso a su información y </w:t>
      </w:r>
      <w:r w:rsidRPr="00AA4D94">
        <w:rPr>
          <w:rFonts w:ascii="Palatino Linotype" w:hAnsi="Palatino Linotype"/>
          <w:b/>
          <w:i/>
          <w:sz w:val="22"/>
          <w:szCs w:val="22"/>
          <w:u w:val="single"/>
        </w:rPr>
        <w:t>proteger</w:t>
      </w:r>
      <w:r w:rsidRPr="00AA4D94">
        <w:rPr>
          <w:rFonts w:ascii="Palatino Linotype" w:hAnsi="Palatino Linotype" w:cs="Arial"/>
          <w:b/>
          <w:i/>
          <w:sz w:val="22"/>
          <w:szCs w:val="22"/>
          <w:u w:val="single"/>
        </w:rPr>
        <w:t xml:space="preserve"> los datos personales que obren en su poder</w:t>
      </w:r>
      <w:r w:rsidRPr="00AA4D94">
        <w:rPr>
          <w:rFonts w:ascii="Palatino Linotype" w:hAnsi="Palatino Linotype" w:cs="Arial"/>
          <w:i/>
          <w:sz w:val="22"/>
          <w:szCs w:val="22"/>
        </w:rPr>
        <w:t>:</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i/>
          <w:sz w:val="22"/>
          <w:szCs w:val="22"/>
        </w:rPr>
        <w:t>[…]</w:t>
      </w:r>
    </w:p>
    <w:p w:rsidR="00C1036C" w:rsidRPr="00AA4D94" w:rsidRDefault="00C1036C" w:rsidP="006041C5">
      <w:pPr>
        <w:spacing w:before="160" w:after="160"/>
        <w:ind w:left="709" w:right="709"/>
        <w:jc w:val="both"/>
        <w:rPr>
          <w:rFonts w:ascii="Palatino Linotype" w:hAnsi="Palatino Linotype" w:cs="Arial"/>
          <w:b/>
          <w:i/>
          <w:sz w:val="22"/>
          <w:szCs w:val="22"/>
          <w:u w:val="single"/>
        </w:rPr>
      </w:pPr>
      <w:r w:rsidRPr="00AA4D94">
        <w:rPr>
          <w:rFonts w:ascii="Palatino Linotype" w:hAnsi="Palatino Linotype" w:cs="Arial"/>
          <w:b/>
          <w:i/>
          <w:sz w:val="22"/>
          <w:szCs w:val="22"/>
        </w:rPr>
        <w:t xml:space="preserve">IV. </w:t>
      </w:r>
      <w:r w:rsidRPr="00AA4D94">
        <w:rPr>
          <w:rFonts w:ascii="Palatino Linotype" w:hAnsi="Palatino Linotype" w:cs="Arial"/>
          <w:b/>
          <w:i/>
          <w:sz w:val="22"/>
          <w:szCs w:val="22"/>
          <w:u w:val="single"/>
        </w:rPr>
        <w:t>Los ayuntamientos</w:t>
      </w:r>
      <w:r w:rsidRPr="00AA4D94">
        <w:rPr>
          <w:rFonts w:ascii="Palatino Linotype" w:hAnsi="Palatino Linotype" w:cs="Arial"/>
          <w:b/>
          <w:i/>
          <w:sz w:val="22"/>
          <w:szCs w:val="22"/>
        </w:rPr>
        <w:t xml:space="preserve"> </w:t>
      </w:r>
      <w:r w:rsidRPr="00AA4D94">
        <w:rPr>
          <w:rFonts w:ascii="Palatino Linotype" w:hAnsi="Palatino Linotype" w:cs="Arial"/>
          <w:i/>
          <w:sz w:val="22"/>
          <w:szCs w:val="22"/>
        </w:rPr>
        <w:t>y las dependencias, organismos, órganos y entidades de la administración municipal;</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cs="Arial"/>
          <w:i/>
          <w:sz w:val="22"/>
          <w:szCs w:val="22"/>
        </w:rPr>
        <w:t>[…]</w:t>
      </w:r>
    </w:p>
    <w:p w:rsidR="00C1036C" w:rsidRPr="00AA4D94" w:rsidRDefault="00C1036C" w:rsidP="006041C5">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1036C" w:rsidRPr="00AA4D94" w:rsidRDefault="00C1036C" w:rsidP="006041C5">
      <w:pPr>
        <w:spacing w:before="160" w:after="160"/>
        <w:ind w:left="709" w:right="709"/>
        <w:jc w:val="both"/>
        <w:rPr>
          <w:rFonts w:ascii="Palatino Linotype" w:hAnsi="Palatino Linotype" w:cs="Arial"/>
          <w:i/>
          <w:sz w:val="22"/>
          <w:szCs w:val="22"/>
        </w:rPr>
      </w:pPr>
      <w:r w:rsidRPr="00AA4D94">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AA4D94">
        <w:rPr>
          <w:rFonts w:ascii="Palatino Linotype" w:hAnsi="Palatino Linotype" w:cs="Arial"/>
          <w:i/>
          <w:sz w:val="22"/>
          <w:szCs w:val="22"/>
        </w:rPr>
        <w:t>.”</w:t>
      </w:r>
    </w:p>
    <w:p w:rsidR="00C1036C" w:rsidRPr="00AA4D94" w:rsidRDefault="00C1036C" w:rsidP="006041C5">
      <w:pPr>
        <w:spacing w:before="160" w:after="160"/>
        <w:ind w:left="709" w:right="709"/>
        <w:jc w:val="both"/>
        <w:rPr>
          <w:rFonts w:ascii="Palatino Linotype" w:hAnsi="Palatino Linotype" w:cs="Arial"/>
          <w:sz w:val="22"/>
        </w:rPr>
      </w:pPr>
      <w:r w:rsidRPr="00AA4D94">
        <w:rPr>
          <w:rFonts w:ascii="Palatino Linotype" w:hAnsi="Palatino Linotype" w:cs="Arial"/>
          <w:sz w:val="22"/>
        </w:rPr>
        <w:t>(Énfasis añadido)</w:t>
      </w:r>
    </w:p>
    <w:p w:rsidR="00C1036C" w:rsidRPr="00AA4D94" w:rsidRDefault="00C1036C" w:rsidP="00C103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p>
    <w:p w:rsidR="00C1036C" w:rsidRPr="00AA4D94" w:rsidRDefault="00C1036C" w:rsidP="00BC6D2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A4D94">
        <w:rPr>
          <w:rFonts w:ascii="Palatino Linotype" w:hAnsi="Palatino Linotype" w:cs="Arial"/>
        </w:rPr>
        <w:t xml:space="preserve">Ahora bien, esta Ponencia Resolutora considera pertinente analizar si </w:t>
      </w:r>
      <w:r w:rsidRPr="00AA4D94">
        <w:rPr>
          <w:rFonts w:ascii="Palatino Linotype" w:hAnsi="Palatino Linotype" w:cs="Arial"/>
          <w:b/>
        </w:rPr>
        <w:t>EL SUJETO OBLIGADO</w:t>
      </w:r>
      <w:r w:rsidRPr="00AA4D94">
        <w:rPr>
          <w:rFonts w:ascii="Palatino Linotype" w:hAnsi="Palatino Linotype" w:cs="Arial"/>
        </w:rPr>
        <w:t xml:space="preserve">, es la autoridad competente para generar, administrar o poseer la información requerida por </w:t>
      </w:r>
      <w:r w:rsidR="00404B4E" w:rsidRPr="00AA4D94">
        <w:rPr>
          <w:rFonts w:ascii="Palatino Linotype" w:hAnsi="Palatino Linotype" w:cs="Arial"/>
          <w:b/>
        </w:rPr>
        <w:t>LA RECURRENTE</w:t>
      </w:r>
      <w:r w:rsidRPr="00AA4D94">
        <w:rPr>
          <w:rFonts w:ascii="Palatino Linotype" w:hAnsi="Palatino Linotype" w:cs="Arial"/>
        </w:rPr>
        <w:t xml:space="preserve">, en virtud del ámbito de sus atribuciones, funciones, facultades o competencias, y si la misma, se trata de </w:t>
      </w:r>
      <w:r w:rsidRPr="00AA4D94">
        <w:rPr>
          <w:rStyle w:val="d"/>
          <w:rFonts w:eastAsia="Arial Unicode MS"/>
        </w:rPr>
        <w:t>información</w:t>
      </w:r>
      <w:r w:rsidRPr="00AA4D94">
        <w:rPr>
          <w:rFonts w:ascii="Palatino Linotype" w:hAnsi="Palatino Linotype" w:cs="Arial"/>
        </w:rPr>
        <w:t xml:space="preserve"> pública susceptible de ser entregada a los particulares.</w:t>
      </w:r>
    </w:p>
    <w:p w:rsidR="006041C5" w:rsidRPr="00AA4D94" w:rsidRDefault="00C1036C" w:rsidP="00BC6D2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A4D94">
        <w:rPr>
          <w:rFonts w:ascii="Palatino Linotype" w:hAnsi="Palatino Linotype" w:cs="Arial"/>
        </w:rPr>
        <w:t xml:space="preserve">En ese contexto, debe observarse lo establecido en </w:t>
      </w:r>
      <w:r w:rsidR="006041C5" w:rsidRPr="00AA4D94">
        <w:rPr>
          <w:rFonts w:ascii="Palatino Linotype" w:hAnsi="Palatino Linotype" w:cs="Arial"/>
        </w:rPr>
        <w:t>e</w:t>
      </w:r>
      <w:r w:rsidRPr="00AA4D94">
        <w:rPr>
          <w:rFonts w:ascii="Palatino Linotype" w:hAnsi="Palatino Linotype" w:cs="Arial"/>
        </w:rPr>
        <w:t xml:space="preserve">l </w:t>
      </w:r>
      <w:r w:rsidR="006041C5" w:rsidRPr="00AA4D94">
        <w:rPr>
          <w:rFonts w:ascii="Palatino Linotype" w:hAnsi="Palatino Linotype" w:cs="Arial"/>
        </w:rPr>
        <w:t>artículo 115, fracciones I, II y III, inciso b), de la Constitución Política de los Estados Unidos Mexicanos:</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Artículo 115.</w:t>
      </w:r>
      <w:r w:rsidRPr="00AA4D94">
        <w:rPr>
          <w:rFonts w:ascii="Palatino Linotype" w:hAnsi="Palatino Linotype"/>
          <w:i/>
          <w:sz w:val="22"/>
          <w:szCs w:val="22"/>
        </w:rPr>
        <w:t xml:space="preserve"> </w:t>
      </w:r>
      <w:r w:rsidRPr="00AA4D94">
        <w:rPr>
          <w:rFonts w:ascii="Palatino Linotype" w:hAnsi="Palatino Linotype"/>
          <w:b/>
          <w:i/>
          <w:sz w:val="22"/>
          <w:szCs w:val="22"/>
          <w:u w:val="single"/>
        </w:rPr>
        <w:t>Los estados adoptarán, para su régimen interior</w:t>
      </w:r>
      <w:r w:rsidRPr="00AA4D94">
        <w:rPr>
          <w:rFonts w:ascii="Palatino Linotype" w:hAnsi="Palatino Linotype"/>
          <w:i/>
          <w:sz w:val="22"/>
          <w:szCs w:val="22"/>
        </w:rPr>
        <w:t xml:space="preserve">, la forma de gobierno republicano, representativo, democrático, laico y popular, </w:t>
      </w:r>
      <w:r w:rsidRPr="00AA4D94">
        <w:rPr>
          <w:rFonts w:ascii="Palatino Linotype" w:hAnsi="Palatino Linotype"/>
          <w:b/>
          <w:i/>
          <w:sz w:val="22"/>
          <w:szCs w:val="22"/>
          <w:u w:val="single"/>
        </w:rPr>
        <w:t>teniendo como base de su división territorial y de su organización política y administrativa, el municipio libre, conforme a las bases siguientes</w:t>
      </w:r>
      <w:r w:rsidRPr="00AA4D94">
        <w:rPr>
          <w:rFonts w:ascii="Palatino Linotype" w:hAnsi="Palatino Linotype"/>
          <w:i/>
          <w:sz w:val="22"/>
          <w:szCs w:val="22"/>
        </w:rPr>
        <w:t xml:space="preserve">: </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b/>
          <w:i/>
          <w:sz w:val="22"/>
          <w:szCs w:val="22"/>
        </w:rPr>
        <w:t>I.</w:t>
      </w:r>
      <w:r w:rsidRPr="00AA4D94">
        <w:rPr>
          <w:rFonts w:ascii="Palatino Linotype" w:hAnsi="Palatino Linotype"/>
          <w:i/>
          <w:sz w:val="22"/>
          <w:szCs w:val="22"/>
        </w:rPr>
        <w:t xml:space="preserve"> </w:t>
      </w:r>
      <w:r w:rsidRPr="00AA4D94">
        <w:rPr>
          <w:rFonts w:ascii="Palatino Linotype" w:hAnsi="Palatino Linotype"/>
          <w:b/>
          <w:i/>
          <w:sz w:val="22"/>
          <w:szCs w:val="22"/>
          <w:u w:val="single"/>
        </w:rPr>
        <w:t>Cada Municipio será gobernado por un Ayuntamiento</w:t>
      </w:r>
      <w:r w:rsidRPr="00AA4D94">
        <w:rPr>
          <w:rFonts w:ascii="Palatino Linotype" w:hAnsi="Palatino Linotype"/>
          <w:i/>
          <w:sz w:val="22"/>
          <w:szCs w:val="22"/>
        </w:rPr>
        <w:t xml:space="preserve">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b/>
          <w:i/>
          <w:sz w:val="22"/>
          <w:szCs w:val="22"/>
        </w:rPr>
        <w:t xml:space="preserve">II. </w:t>
      </w:r>
      <w:r w:rsidRPr="00AA4D94">
        <w:rPr>
          <w:rFonts w:ascii="Palatino Linotype" w:hAnsi="Palatino Linotype"/>
          <w:b/>
          <w:i/>
          <w:sz w:val="22"/>
          <w:szCs w:val="22"/>
          <w:u w:val="single"/>
        </w:rPr>
        <w:t>Los municipios estarán investidos de personalidad jurídica y manejarán su patrimonio</w:t>
      </w:r>
      <w:r w:rsidRPr="00AA4D94">
        <w:rPr>
          <w:rFonts w:ascii="Palatino Linotype" w:hAnsi="Palatino Linotype"/>
          <w:b/>
          <w:i/>
          <w:sz w:val="22"/>
          <w:szCs w:val="22"/>
        </w:rPr>
        <w:t xml:space="preserve"> </w:t>
      </w:r>
      <w:r w:rsidRPr="00AA4D94">
        <w:rPr>
          <w:rFonts w:ascii="Palatino Linotype" w:hAnsi="Palatino Linotype"/>
          <w:i/>
          <w:sz w:val="22"/>
          <w:szCs w:val="22"/>
        </w:rPr>
        <w:t>conforme a la ley</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b/>
          <w:i/>
          <w:sz w:val="22"/>
          <w:szCs w:val="22"/>
        </w:rPr>
        <w:t xml:space="preserve">III. </w:t>
      </w:r>
      <w:r w:rsidRPr="00AA4D94">
        <w:rPr>
          <w:rFonts w:ascii="Palatino Linotype" w:hAnsi="Palatino Linotype"/>
          <w:b/>
          <w:i/>
          <w:sz w:val="22"/>
          <w:szCs w:val="22"/>
          <w:u w:val="single"/>
        </w:rPr>
        <w:t>Los Municipios tendrán a su cargo las funciones y servicios públicos siguientes</w:t>
      </w:r>
      <w:r w:rsidRPr="00AA4D94">
        <w:rPr>
          <w:rFonts w:ascii="Palatino Linotype" w:hAnsi="Palatino Linotype"/>
          <w:i/>
          <w:sz w:val="22"/>
          <w:szCs w:val="22"/>
        </w:rPr>
        <w:t>:</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p>
    <w:p w:rsidR="006041C5"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b/>
          <w:i/>
          <w:sz w:val="22"/>
          <w:szCs w:val="22"/>
        </w:rPr>
        <w:lastRenderedPageBreak/>
        <w:t xml:space="preserve">b) </w:t>
      </w:r>
      <w:r w:rsidRPr="00AA4D94">
        <w:rPr>
          <w:rFonts w:ascii="Palatino Linotype" w:hAnsi="Palatino Linotype"/>
          <w:b/>
          <w:i/>
          <w:sz w:val="22"/>
          <w:szCs w:val="22"/>
          <w:u w:val="single"/>
        </w:rPr>
        <w:t>Alumbrado público</w:t>
      </w:r>
      <w:r w:rsidRPr="00AA4D94">
        <w:rPr>
          <w:rFonts w:ascii="Palatino Linotype" w:hAnsi="Palatino Linotype"/>
          <w:i/>
          <w:sz w:val="22"/>
          <w:szCs w:val="22"/>
        </w:rPr>
        <w:t>”</w:t>
      </w:r>
    </w:p>
    <w:p w:rsidR="006041C5" w:rsidRPr="00AA4D94" w:rsidRDefault="006041C5" w:rsidP="0036224F">
      <w:pPr>
        <w:spacing w:before="120" w:after="12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6041C5" w:rsidRPr="00AA4D94" w:rsidRDefault="006041C5" w:rsidP="00BC6D2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AA4D94">
        <w:rPr>
          <w:rFonts w:ascii="Palatino Linotype" w:hAnsi="Palatino Linotype"/>
          <w:bCs/>
        </w:rPr>
        <w:t xml:space="preserve">Así, del </w:t>
      </w:r>
      <w:r w:rsidRPr="00AA4D94">
        <w:rPr>
          <w:rFonts w:ascii="Palatino Linotype" w:hAnsi="Palatino Linotype" w:cs="Arial"/>
        </w:rPr>
        <w:t>texto</w:t>
      </w:r>
      <w:r w:rsidRPr="00AA4D94">
        <w:rPr>
          <w:rFonts w:ascii="Palatino Linotype" w:hAnsi="Palatino Linotype"/>
          <w:bCs/>
        </w:rPr>
        <w:t xml:space="preserve"> transcrito se advierte que los Municipios son la base de  la división territorial de los </w:t>
      </w:r>
      <w:r w:rsidRPr="00AA4D94">
        <w:rPr>
          <w:rFonts w:ascii="Palatino Linotype" w:hAnsi="Palatino Linotype" w:cs="Arial"/>
        </w:rPr>
        <w:t>Estados</w:t>
      </w:r>
      <w:r w:rsidRPr="00AA4D94">
        <w:rPr>
          <w:rFonts w:ascii="Palatino Linotype" w:hAnsi="Palatino Linotype"/>
          <w:bCs/>
        </w:rPr>
        <w:t xml:space="preserve">, gobernados por un Ayuntamiento de elección popular, investidos de personalidad jurídica y </w:t>
      </w:r>
      <w:r w:rsidRPr="00AA4D94">
        <w:rPr>
          <w:rFonts w:ascii="Palatino Linotype" w:hAnsi="Palatino Linotype"/>
        </w:rPr>
        <w:t xml:space="preserve">patrimonio propio, que tienen a su cargo </w:t>
      </w:r>
      <w:r w:rsidRPr="00AA4D94">
        <w:rPr>
          <w:rFonts w:ascii="Palatino Linotype" w:hAnsi="Palatino Linotype"/>
          <w:color w:val="000000"/>
        </w:rPr>
        <w:t xml:space="preserve">el </w:t>
      </w:r>
      <w:r w:rsidRPr="00AA4D94">
        <w:rPr>
          <w:rFonts w:ascii="Palatino Linotype" w:hAnsi="Palatino Linotype" w:cs="Arial"/>
        </w:rPr>
        <w:t>alumbrado</w:t>
      </w:r>
      <w:r w:rsidRPr="00AA4D94">
        <w:rPr>
          <w:rFonts w:ascii="Palatino Linotype" w:hAnsi="Palatino Linotype"/>
          <w:color w:val="000000"/>
        </w:rPr>
        <w:t xml:space="preserve"> público.</w:t>
      </w:r>
    </w:p>
    <w:p w:rsidR="006041C5" w:rsidRPr="00AA4D94" w:rsidRDefault="006041C5" w:rsidP="00BC6D28">
      <w:pPr>
        <w:pStyle w:val="Prrafodelista"/>
        <w:widowControl w:val="0"/>
        <w:autoSpaceDE w:val="0"/>
        <w:autoSpaceDN w:val="0"/>
        <w:adjustRightInd w:val="0"/>
        <w:spacing w:before="200" w:after="200" w:line="360" w:lineRule="auto"/>
        <w:ind w:left="0"/>
        <w:jc w:val="both"/>
        <w:rPr>
          <w:rFonts w:ascii="Palatino Linotype" w:hAnsi="Palatino Linotype"/>
        </w:rPr>
      </w:pPr>
      <w:r w:rsidRPr="00AA4D94">
        <w:rPr>
          <w:rFonts w:ascii="Palatino Linotype" w:hAnsi="Palatino Linotype"/>
          <w:bCs/>
        </w:rPr>
        <w:t xml:space="preserve">Por su </w:t>
      </w:r>
      <w:r w:rsidRPr="00AA4D94">
        <w:rPr>
          <w:rFonts w:ascii="Palatino Linotype" w:hAnsi="Palatino Linotype" w:cs="Arial"/>
        </w:rPr>
        <w:t>parte</w:t>
      </w:r>
      <w:r w:rsidRPr="00AA4D94">
        <w:rPr>
          <w:rFonts w:ascii="Palatino Linotype" w:hAnsi="Palatino Linotype"/>
          <w:bCs/>
        </w:rPr>
        <w:t xml:space="preserve">, la </w:t>
      </w:r>
      <w:r w:rsidRPr="00AA4D94">
        <w:rPr>
          <w:rFonts w:ascii="Palatino Linotype" w:hAnsi="Palatino Linotype" w:cs="Arial"/>
        </w:rPr>
        <w:t>Constitución</w:t>
      </w:r>
      <w:r w:rsidRPr="00AA4D94">
        <w:rPr>
          <w:rFonts w:ascii="Palatino Linotype" w:hAnsi="Palatino Linotype"/>
          <w:bCs/>
        </w:rPr>
        <w:t xml:space="preserve">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emitirse la L</w:t>
      </w:r>
      <w:r w:rsidRPr="00AA4D94">
        <w:rPr>
          <w:rFonts w:ascii="Palatino Linotype" w:hAnsi="Palatino Linotype"/>
        </w:rPr>
        <w:t>ey Orgánica Municipal del Estado de México, que acoge lo establecido por las Constituciones en comento, al incluir al municipio libre como la base de la división territorial y de la organización política del Estado, que tendrá a su cargo la prestación, explotación, administración y conservación del servicio público denominado alumbrado público.</w:t>
      </w:r>
    </w:p>
    <w:p w:rsidR="006041C5" w:rsidRPr="00AA4D94" w:rsidRDefault="006041C5" w:rsidP="00BC6D28">
      <w:pPr>
        <w:pStyle w:val="Prrafodelista"/>
        <w:widowControl w:val="0"/>
        <w:autoSpaceDE w:val="0"/>
        <w:autoSpaceDN w:val="0"/>
        <w:adjustRightInd w:val="0"/>
        <w:spacing w:before="240" w:line="360" w:lineRule="auto"/>
        <w:ind w:left="0"/>
        <w:jc w:val="both"/>
        <w:rPr>
          <w:rFonts w:ascii="Palatino Linotype" w:hAnsi="Palatino Linotype"/>
        </w:rPr>
      </w:pPr>
      <w:r w:rsidRPr="00AA4D94">
        <w:rPr>
          <w:rFonts w:ascii="Palatino Linotype" w:hAnsi="Palatino Linotype"/>
        </w:rPr>
        <w:t>A saber, es función del Ayuntamiento prestar el servicio público consistente en la iluminación de las vías públicas, parques públicos, y demás espacios de libre circulación que no se encuentran a cargo de ninguna persona natural o jurídica de derecho privado o público</w:t>
      </w:r>
      <w:r w:rsidRPr="00AA4D94">
        <w:rPr>
          <w:rStyle w:val="Refdenotaalpie"/>
          <w:rFonts w:ascii="Palatino Linotype" w:hAnsi="Palatino Linotype"/>
        </w:rPr>
        <w:footnoteReference w:id="1"/>
      </w:r>
      <w:r w:rsidRPr="00AA4D94">
        <w:rPr>
          <w:rFonts w:ascii="Palatino Linotype" w:hAnsi="Palatino Linotype"/>
        </w:rPr>
        <w:t>, y para tales efectos, en términos del artículo 126 de la Constitución Local, podrán previo acuerdo entre los Ayuntamiento, coordinarse y asociarse para su eficaz prestación, o bien, para concesionar el servicio público de conformidad con las disposiciones jurídicas aplicables.</w:t>
      </w:r>
    </w:p>
    <w:p w:rsidR="006041C5" w:rsidRPr="00AA4D94" w:rsidRDefault="006041C5" w:rsidP="00F45369">
      <w:pPr>
        <w:pStyle w:val="Prrafodelista"/>
        <w:widowControl w:val="0"/>
        <w:autoSpaceDE w:val="0"/>
        <w:autoSpaceDN w:val="0"/>
        <w:adjustRightInd w:val="0"/>
        <w:spacing w:before="200" w:after="200" w:line="360" w:lineRule="auto"/>
        <w:ind w:left="0"/>
        <w:jc w:val="both"/>
        <w:rPr>
          <w:rFonts w:ascii="Palatino Linotype" w:hAnsi="Palatino Linotype"/>
        </w:rPr>
      </w:pPr>
      <w:r w:rsidRPr="00AA4D94">
        <w:rPr>
          <w:rFonts w:ascii="Palatino Linotype" w:hAnsi="Palatino Linotype"/>
        </w:rPr>
        <w:lastRenderedPageBreak/>
        <w:t>En ese sentido, la fracción VII</w:t>
      </w:r>
      <w:r w:rsidR="0036224F" w:rsidRPr="00AA4D94">
        <w:rPr>
          <w:rFonts w:ascii="Palatino Linotype" w:hAnsi="Palatino Linotype"/>
        </w:rPr>
        <w:t>,</w:t>
      </w:r>
      <w:r w:rsidRPr="00AA4D94">
        <w:rPr>
          <w:rFonts w:ascii="Palatino Linotype" w:hAnsi="Palatino Linotype"/>
        </w:rPr>
        <w:t xml:space="preserve"> del artículo 31 de la Ley Orgánica Municipal del Estado de México, establece además de las atribuciones marcadas con anterioridad entre otras, celebrar convenios para la prestación de servicios públicos a que se refiere el artículo 115 fracción III de la Constitución Federal; así como convenir, contratar o concesionar la prestación de servicios públicos con el Estado, con otros municipios de la entidad o con particulares, recabando cuando así proceda, la autorización de la Legislatura, siendo los Presidentes Municipales a quien compete en representación del Ayuntamiento y </w:t>
      </w:r>
      <w:r w:rsidRPr="00AA4D94">
        <w:rPr>
          <w:rFonts w:ascii="Palatino Linotype" w:hAnsi="Palatino Linotype"/>
          <w:bCs/>
        </w:rPr>
        <w:t>previo</w:t>
      </w:r>
      <w:r w:rsidRPr="00AA4D94">
        <w:rPr>
          <w:rFonts w:ascii="Palatino Linotype" w:hAnsi="Palatino Linotype"/>
        </w:rPr>
        <w:t xml:space="preserve"> acuerdo de este contratar o concesionar las prestación de los servicios públicos ya sea por terceros o por concurso, siempre y cuando se sujeten a lo establecido en la Ley Orgánica y demás disposiciones aplicables.</w:t>
      </w:r>
    </w:p>
    <w:p w:rsidR="006041C5" w:rsidRPr="00AA4D94" w:rsidRDefault="0036224F" w:rsidP="00F45369">
      <w:pPr>
        <w:pStyle w:val="Prrafodelista"/>
        <w:widowControl w:val="0"/>
        <w:autoSpaceDE w:val="0"/>
        <w:autoSpaceDN w:val="0"/>
        <w:adjustRightInd w:val="0"/>
        <w:spacing w:before="200" w:after="120" w:line="360" w:lineRule="auto"/>
        <w:ind w:left="0"/>
        <w:jc w:val="both"/>
        <w:rPr>
          <w:rFonts w:ascii="Palatino Linotype" w:hAnsi="Palatino Linotype"/>
        </w:rPr>
      </w:pPr>
      <w:r w:rsidRPr="00AA4D94">
        <w:rPr>
          <w:rFonts w:ascii="Palatino Linotype" w:hAnsi="Palatino Linotype"/>
        </w:rPr>
        <w:t xml:space="preserve">Así, a la </w:t>
      </w:r>
      <w:r w:rsidRPr="00AA4D94">
        <w:rPr>
          <w:rFonts w:ascii="Palatino Linotype" w:hAnsi="Palatino Linotype"/>
          <w:bCs/>
        </w:rPr>
        <w:t>Dirección</w:t>
      </w:r>
      <w:r w:rsidRPr="00AA4D94">
        <w:rPr>
          <w:rFonts w:ascii="Palatino Linotype" w:hAnsi="Palatino Linotype"/>
        </w:rPr>
        <w:t xml:space="preserve"> de Servicios Públicos</w:t>
      </w:r>
      <w:r w:rsidR="006041C5" w:rsidRPr="00AA4D94">
        <w:rPr>
          <w:rFonts w:ascii="Palatino Linotype" w:hAnsi="Palatino Linotype"/>
        </w:rPr>
        <w:t>,</w:t>
      </w:r>
      <w:r w:rsidRPr="00AA4D94">
        <w:rPr>
          <w:rFonts w:ascii="Palatino Linotype" w:hAnsi="Palatino Linotype"/>
        </w:rPr>
        <w:t xml:space="preserve"> le corresponde </w:t>
      </w:r>
      <w:r w:rsidR="006041C5" w:rsidRPr="00AA4D94">
        <w:rPr>
          <w:rFonts w:ascii="Palatino Linotype" w:hAnsi="Palatino Linotype"/>
        </w:rPr>
        <w:t xml:space="preserve">el ejercicio y despacho del alumbrado público, </w:t>
      </w:r>
      <w:r w:rsidRPr="00AA4D94">
        <w:rPr>
          <w:rFonts w:ascii="Palatino Linotype" w:hAnsi="Palatino Linotype"/>
        </w:rPr>
        <w:t xml:space="preserve">conforme al artículo </w:t>
      </w:r>
      <w:r w:rsidR="006B48B7" w:rsidRPr="00AA4D94">
        <w:rPr>
          <w:rFonts w:ascii="Palatino Linotype" w:hAnsi="Palatino Linotype"/>
        </w:rPr>
        <w:t>55</w:t>
      </w:r>
      <w:r w:rsidRPr="00AA4D94">
        <w:rPr>
          <w:rFonts w:ascii="Palatino Linotype" w:hAnsi="Palatino Linotype"/>
        </w:rPr>
        <w:t xml:space="preserve">, fracción III, inciso a), del  </w:t>
      </w:r>
      <w:r w:rsidR="006041C5" w:rsidRPr="00AA4D94">
        <w:rPr>
          <w:rFonts w:ascii="Palatino Linotype" w:hAnsi="Palatino Linotype"/>
        </w:rPr>
        <w:t>Bando Municipal 2018:</w:t>
      </w:r>
    </w:p>
    <w:p w:rsidR="006B48B7" w:rsidRPr="00AA4D94" w:rsidRDefault="006041C5" w:rsidP="0036224F">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006B48B7" w:rsidRPr="00AA4D94">
        <w:rPr>
          <w:rFonts w:ascii="Palatino Linotype" w:hAnsi="Palatino Linotype"/>
          <w:b/>
          <w:i/>
          <w:sz w:val="22"/>
          <w:szCs w:val="22"/>
        </w:rPr>
        <w:t>Artículo 55</w:t>
      </w:r>
      <w:r w:rsidR="006B48B7" w:rsidRPr="00AA4D94">
        <w:rPr>
          <w:rFonts w:ascii="Palatino Linotype" w:hAnsi="Palatino Linotype"/>
          <w:i/>
          <w:sz w:val="22"/>
          <w:szCs w:val="22"/>
        </w:rPr>
        <w:t xml:space="preserve">.- En forma enunciativa y no limitativa, </w:t>
      </w:r>
      <w:r w:rsidR="006B48B7" w:rsidRPr="00AA4D94">
        <w:rPr>
          <w:rFonts w:ascii="Palatino Linotype" w:hAnsi="Palatino Linotype"/>
          <w:b/>
          <w:i/>
          <w:sz w:val="22"/>
          <w:szCs w:val="22"/>
          <w:u w:val="single"/>
        </w:rPr>
        <w:t>se consideran Servicios Públicos Municipales, los siguientes</w:t>
      </w:r>
      <w:r w:rsidR="006B48B7" w:rsidRPr="00AA4D94">
        <w:rPr>
          <w:rFonts w:ascii="Palatino Linotype" w:hAnsi="Palatino Linotype"/>
          <w:i/>
          <w:sz w:val="22"/>
          <w:szCs w:val="22"/>
        </w:rPr>
        <w:t>:</w:t>
      </w:r>
    </w:p>
    <w:p w:rsidR="006B48B7" w:rsidRPr="00AA4D94" w:rsidRDefault="006B48B7" w:rsidP="0036224F">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p>
    <w:p w:rsidR="006B48B7" w:rsidRPr="00AA4D94" w:rsidRDefault="006B48B7" w:rsidP="0036224F">
      <w:pPr>
        <w:spacing w:before="120" w:after="120"/>
        <w:ind w:left="709" w:right="709"/>
        <w:jc w:val="both"/>
        <w:rPr>
          <w:rFonts w:ascii="Palatino Linotype" w:hAnsi="Palatino Linotype"/>
          <w:i/>
          <w:sz w:val="22"/>
          <w:szCs w:val="22"/>
        </w:rPr>
      </w:pPr>
      <w:r w:rsidRPr="00AA4D94">
        <w:rPr>
          <w:rFonts w:ascii="Palatino Linotype" w:hAnsi="Palatino Linotype"/>
          <w:b/>
          <w:i/>
          <w:sz w:val="22"/>
          <w:szCs w:val="22"/>
        </w:rPr>
        <w:t xml:space="preserve">II. </w:t>
      </w:r>
      <w:r w:rsidRPr="00AA4D94">
        <w:rPr>
          <w:rFonts w:ascii="Palatino Linotype" w:hAnsi="Palatino Linotype"/>
          <w:b/>
          <w:i/>
          <w:sz w:val="22"/>
          <w:szCs w:val="22"/>
          <w:u w:val="single"/>
        </w:rPr>
        <w:t>Alumbrado público</w:t>
      </w:r>
      <w:r w:rsidRPr="00AA4D94">
        <w:rPr>
          <w:rFonts w:ascii="Palatino Linotype" w:hAnsi="Palatino Linotype"/>
          <w:i/>
          <w:sz w:val="22"/>
          <w:szCs w:val="22"/>
        </w:rPr>
        <w:t>;”</w:t>
      </w:r>
    </w:p>
    <w:p w:rsidR="006041C5" w:rsidRPr="00AA4D94" w:rsidRDefault="006041C5" w:rsidP="0036224F">
      <w:pPr>
        <w:spacing w:before="120" w:after="12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36224F" w:rsidRPr="00AA4D94" w:rsidRDefault="0036224F" w:rsidP="00DC18EA">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t>Presupuesto del sistema de alumbrado público municipal</w:t>
      </w:r>
    </w:p>
    <w:p w:rsidR="00340F86" w:rsidRPr="00AA4D94" w:rsidRDefault="00DC18EA" w:rsidP="00DC18EA">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 xml:space="preserve">En este </w:t>
      </w:r>
      <w:r w:rsidR="001D0412" w:rsidRPr="00AA4D94">
        <w:rPr>
          <w:rFonts w:ascii="Palatino Linotype" w:hAnsi="Palatino Linotype"/>
        </w:rPr>
        <w:t>rubro</w:t>
      </w:r>
      <w:r w:rsidRPr="00AA4D94">
        <w:rPr>
          <w:rFonts w:ascii="Palatino Linotype" w:hAnsi="Palatino Linotype"/>
        </w:rPr>
        <w:t xml:space="preserve"> podemos ubicar los requerimientos d</w:t>
      </w:r>
      <w:r w:rsidR="00404B4E" w:rsidRPr="00AA4D94">
        <w:rPr>
          <w:rFonts w:ascii="Palatino Linotype" w:hAnsi="Palatino Linotype"/>
        </w:rPr>
        <w:t>e</w:t>
      </w:r>
      <w:r w:rsidR="00404B4E" w:rsidRPr="00AA4D94">
        <w:rPr>
          <w:rFonts w:ascii="Palatino Linotype" w:hAnsi="Palatino Linotype" w:cs="Arial"/>
          <w:b/>
        </w:rPr>
        <w:t xml:space="preserve"> LA RECURRENTE</w:t>
      </w:r>
      <w:r w:rsidRPr="00AA4D94">
        <w:rPr>
          <w:rFonts w:ascii="Palatino Linotype" w:hAnsi="Palatino Linotype"/>
        </w:rPr>
        <w:t xml:space="preserve">, descritos en el </w:t>
      </w:r>
      <w:r w:rsidRPr="00AA4D94">
        <w:rPr>
          <w:rFonts w:ascii="Palatino Linotype" w:hAnsi="Palatino Linotype"/>
          <w:b/>
        </w:rPr>
        <w:t>Apartado I, numerales 1, 3 y 4</w:t>
      </w:r>
      <w:r w:rsidR="001D176A" w:rsidRPr="00AA4D94">
        <w:rPr>
          <w:rFonts w:ascii="Palatino Linotype" w:hAnsi="Palatino Linotype"/>
        </w:rPr>
        <w:t>.</w:t>
      </w:r>
    </w:p>
    <w:p w:rsidR="00DC18EA" w:rsidRPr="00AA4D94" w:rsidRDefault="00DC18EA" w:rsidP="00F45369">
      <w:pPr>
        <w:pStyle w:val="Prrafodelista"/>
        <w:widowControl w:val="0"/>
        <w:autoSpaceDE w:val="0"/>
        <w:autoSpaceDN w:val="0"/>
        <w:adjustRightInd w:val="0"/>
        <w:spacing w:before="200" w:after="200" w:line="360" w:lineRule="auto"/>
        <w:ind w:left="0"/>
        <w:jc w:val="both"/>
        <w:rPr>
          <w:rFonts w:ascii="Palatino Linotype" w:hAnsi="Palatino Linotype"/>
        </w:rPr>
      </w:pPr>
      <w:r w:rsidRPr="00AA4D94">
        <w:rPr>
          <w:rFonts w:ascii="Palatino Linotype" w:hAnsi="Palatino Linotype"/>
        </w:rPr>
        <w:t xml:space="preserve">Así, </w:t>
      </w:r>
      <w:r w:rsidR="00340F86" w:rsidRPr="00AA4D94">
        <w:rPr>
          <w:rFonts w:ascii="Palatino Linotype" w:hAnsi="Palatino Linotype"/>
          <w:bCs/>
        </w:rPr>
        <w:t>respecto</w:t>
      </w:r>
      <w:r w:rsidR="00340F86" w:rsidRPr="00AA4D94">
        <w:rPr>
          <w:rFonts w:ascii="Palatino Linotype" w:hAnsi="Palatino Linotype"/>
        </w:rPr>
        <w:t xml:space="preserve"> del </w:t>
      </w:r>
      <w:r w:rsidR="00340F86" w:rsidRPr="00AA4D94">
        <w:rPr>
          <w:rFonts w:ascii="Palatino Linotype" w:hAnsi="Palatino Linotype"/>
          <w:b/>
        </w:rPr>
        <w:t>Apartado I, numeral 1</w:t>
      </w:r>
      <w:r w:rsidR="00340F86" w:rsidRPr="00AA4D94">
        <w:rPr>
          <w:rFonts w:ascii="Palatino Linotype" w:hAnsi="Palatino Linotype"/>
        </w:rPr>
        <w:t xml:space="preserve">, </w:t>
      </w:r>
      <w:r w:rsidRPr="00AA4D94">
        <w:rPr>
          <w:rFonts w:ascii="Palatino Linotype" w:hAnsi="Palatino Linotype"/>
        </w:rPr>
        <w:t>conviene precisar que en el cumplimiento de los principios que rigen la función pública, la Constitución Política del Estado Libre y Soberano de México en su artículo 129</w:t>
      </w:r>
      <w:r w:rsidR="00340F86" w:rsidRPr="00AA4D94">
        <w:rPr>
          <w:rFonts w:ascii="Palatino Linotype" w:hAnsi="Palatino Linotype"/>
        </w:rPr>
        <w:t>,</w:t>
      </w:r>
      <w:r w:rsidRPr="00AA4D94">
        <w:rPr>
          <w:rFonts w:ascii="Palatino Linotype" w:hAnsi="Palatino Linotype"/>
        </w:rPr>
        <w:t xml:space="preserve"> señala que los recursos económicos del Estado, </w:t>
      </w:r>
      <w:r w:rsidRPr="00AA4D94">
        <w:rPr>
          <w:rFonts w:ascii="Palatino Linotype" w:hAnsi="Palatino Linotype"/>
        </w:rPr>
        <w:lastRenderedPageBreak/>
        <w:t xml:space="preserve">de los Municipios, así como de los Organismos Autónomos, se administrarán con eficiencia, eficacia y honradez, para cumplir con los objetivos y programas a los que estén destinados. </w:t>
      </w:r>
    </w:p>
    <w:p w:rsidR="00DC18EA" w:rsidRPr="00AA4D94" w:rsidRDefault="00DC18EA" w:rsidP="00DC18EA">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Además, señala que todos los pagos se harán mediante orden escrita en la que se expresará la partida del presupuesto a cargo de la cual se realizan, por ello, los artículos 31</w:t>
      </w:r>
      <w:r w:rsidR="00340F86" w:rsidRPr="00AA4D94">
        <w:rPr>
          <w:rFonts w:ascii="Palatino Linotype" w:hAnsi="Palatino Linotype"/>
        </w:rPr>
        <w:t>,</w:t>
      </w:r>
      <w:r w:rsidRPr="00AA4D94">
        <w:rPr>
          <w:rFonts w:ascii="Palatino Linotype" w:hAnsi="Palatino Linotype"/>
        </w:rPr>
        <w:t xml:space="preserve"> fracciones XVIII y XIX y 95</w:t>
      </w:r>
      <w:r w:rsidR="00340F86" w:rsidRPr="00AA4D94">
        <w:rPr>
          <w:rFonts w:ascii="Palatino Linotype" w:hAnsi="Palatino Linotype"/>
        </w:rPr>
        <w:t>,</w:t>
      </w:r>
      <w:r w:rsidRPr="00AA4D94">
        <w:rPr>
          <w:rFonts w:ascii="Palatino Linotype" w:hAnsi="Palatino Linotype"/>
        </w:rPr>
        <w:t xml:space="preserve"> fracciones I y IV</w:t>
      </w:r>
      <w:r w:rsidR="00340F86" w:rsidRPr="00AA4D94">
        <w:rPr>
          <w:rFonts w:ascii="Palatino Linotype" w:hAnsi="Palatino Linotype"/>
        </w:rPr>
        <w:t>,</w:t>
      </w:r>
      <w:r w:rsidRPr="00AA4D94">
        <w:rPr>
          <w:rFonts w:ascii="Palatino Linotype" w:hAnsi="Palatino Linotype"/>
        </w:rPr>
        <w:t xml:space="preserve"> de la Ley Orgánica Municipal del Estado de México</w:t>
      </w:r>
      <w:r w:rsidR="00340F86" w:rsidRPr="00AA4D94">
        <w:rPr>
          <w:rFonts w:ascii="Palatino Linotype" w:hAnsi="Palatino Linotype"/>
        </w:rPr>
        <w:t>,</w:t>
      </w:r>
      <w:r w:rsidRPr="00AA4D94">
        <w:rPr>
          <w:rFonts w:ascii="Palatino Linotype" w:hAnsi="Palatino Linotype"/>
        </w:rPr>
        <w:t xml:space="preserve"> disponen como atribuciones de los ayuntamientos lo siguiente:</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Artículo 31.-</w:t>
      </w:r>
      <w:r w:rsidRPr="00AA4D94">
        <w:rPr>
          <w:rFonts w:ascii="Palatino Linotype" w:hAnsi="Palatino Linotype"/>
          <w:b/>
          <w:i/>
          <w:sz w:val="22"/>
          <w:szCs w:val="22"/>
          <w:u w:val="single"/>
        </w:rPr>
        <w:t>Son atribuciones de los ayuntamientos</w:t>
      </w:r>
      <w:r w:rsidRPr="00AA4D94">
        <w:rPr>
          <w:rFonts w:ascii="Palatino Linotype" w:hAnsi="Palatino Linotype"/>
          <w:i/>
          <w:sz w:val="22"/>
          <w:szCs w:val="22"/>
        </w:rPr>
        <w:t>:</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rPr>
        <w:t xml:space="preserve">XVIII. </w:t>
      </w:r>
      <w:r w:rsidRPr="00AA4D94">
        <w:rPr>
          <w:rFonts w:ascii="Palatino Linotype" w:hAnsi="Palatino Linotype"/>
          <w:b/>
          <w:i/>
          <w:sz w:val="22"/>
          <w:szCs w:val="22"/>
          <w:u w:val="single"/>
        </w:rPr>
        <w:t>Administrar su hacienda</w:t>
      </w:r>
      <w:r w:rsidRPr="00AA4D94">
        <w:rPr>
          <w:rFonts w:ascii="Palatino Linotype" w:hAnsi="Palatino Linotype"/>
          <w:i/>
          <w:sz w:val="22"/>
          <w:szCs w:val="22"/>
        </w:rPr>
        <w:t xml:space="preserve"> en términos de ley, y controlar a través del presidente y síndico la aplicación del presupuesto de egresos del municipio;</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rPr>
        <w:t>XIX.</w:t>
      </w:r>
      <w:r w:rsidRPr="00AA4D94">
        <w:rPr>
          <w:rFonts w:ascii="Palatino Linotype" w:hAnsi="Palatino Linotype"/>
          <w:i/>
          <w:sz w:val="22"/>
          <w:szCs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 xml:space="preserve">Las remuneraciones de todo tipo del Presidente Municipal, Síndicos, Regidores y servidores públicos en general, incluyendo mandos medios y superiores de la administración municipal, serán determinadas anualmente en el presupuesto de egresos </w:t>
      </w:r>
      <w:r w:rsidRPr="00AA4D94">
        <w:rPr>
          <w:rFonts w:ascii="Palatino Linotype" w:hAnsi="Palatino Linotype"/>
          <w:i/>
          <w:sz w:val="22"/>
          <w:szCs w:val="22"/>
        </w:rPr>
        <w:lastRenderedPageBreak/>
        <w:t xml:space="preserve">correspondiente y se sujetarán a los lineamientos legales establecidos para todos los servidores públicos municipales. </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Los ayuntamientos podrán promover el financiamiento de proyectos productivos de las mujeres emprendedoras.</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rPr>
        <w:t>Artículo 95</w:t>
      </w:r>
      <w:r w:rsidRPr="00AA4D94">
        <w:rPr>
          <w:rFonts w:ascii="Palatino Linotype" w:hAnsi="Palatino Linotype"/>
          <w:i/>
          <w:sz w:val="22"/>
          <w:szCs w:val="22"/>
        </w:rPr>
        <w:t>.-</w:t>
      </w:r>
      <w:r w:rsidRPr="00AA4D94">
        <w:rPr>
          <w:rFonts w:ascii="Palatino Linotype" w:hAnsi="Palatino Linotype"/>
          <w:b/>
          <w:i/>
          <w:sz w:val="22"/>
          <w:szCs w:val="22"/>
        </w:rPr>
        <w:t>Son atribuciones del tesorero municipal</w:t>
      </w:r>
      <w:r w:rsidRPr="00AA4D94">
        <w:rPr>
          <w:rFonts w:ascii="Palatino Linotype" w:hAnsi="Palatino Linotype"/>
          <w:i/>
          <w:sz w:val="22"/>
          <w:szCs w:val="22"/>
        </w:rPr>
        <w:t xml:space="preserve">: </w:t>
      </w:r>
    </w:p>
    <w:p w:rsidR="00DC18EA" w:rsidRPr="00AA4D94" w:rsidRDefault="00340F86" w:rsidP="00340F86">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rPr>
        <w:t>I</w:t>
      </w:r>
      <w:r w:rsidR="00DC18EA" w:rsidRPr="00AA4D94">
        <w:rPr>
          <w:rFonts w:ascii="Palatino Linotype" w:hAnsi="Palatino Linotype"/>
          <w:b/>
          <w:i/>
          <w:sz w:val="22"/>
          <w:szCs w:val="22"/>
        </w:rPr>
        <w:t>. Administrar la hacienda pública municipal</w:t>
      </w:r>
      <w:r w:rsidR="00DC18EA" w:rsidRPr="00AA4D94">
        <w:rPr>
          <w:rFonts w:ascii="Palatino Linotype" w:hAnsi="Palatino Linotype"/>
          <w:i/>
          <w:sz w:val="22"/>
          <w:szCs w:val="22"/>
        </w:rPr>
        <w:t>, de conformidad con las disposiciones legales aplicables;</w:t>
      </w:r>
    </w:p>
    <w:p w:rsidR="00340F86" w:rsidRPr="00AA4D94" w:rsidRDefault="00340F86" w:rsidP="00340F86">
      <w:pPr>
        <w:spacing w:before="160" w:after="160"/>
        <w:ind w:left="709" w:right="709"/>
        <w:jc w:val="both"/>
        <w:rPr>
          <w:rFonts w:ascii="Palatino Linotype" w:hAnsi="Palatino Linotype"/>
          <w:i/>
          <w:sz w:val="22"/>
          <w:szCs w:val="22"/>
        </w:rPr>
      </w:pPr>
      <w:r w:rsidRPr="00AA4D94">
        <w:rPr>
          <w:rFonts w:ascii="Palatino Linotype" w:hAnsi="Palatino Linotype"/>
          <w:i/>
          <w:sz w:val="22"/>
          <w:szCs w:val="22"/>
        </w:rPr>
        <w:t>[…]</w:t>
      </w:r>
    </w:p>
    <w:p w:rsidR="00DC18EA" w:rsidRPr="00AA4D94" w:rsidRDefault="00DC18EA" w:rsidP="00340F86">
      <w:pPr>
        <w:spacing w:before="160" w:after="160"/>
        <w:ind w:left="709" w:right="709"/>
        <w:jc w:val="both"/>
        <w:rPr>
          <w:rFonts w:ascii="Palatino Linotype" w:hAnsi="Palatino Linotype"/>
          <w:i/>
          <w:sz w:val="22"/>
          <w:szCs w:val="22"/>
        </w:rPr>
      </w:pPr>
      <w:r w:rsidRPr="00AA4D94">
        <w:rPr>
          <w:rFonts w:ascii="Palatino Linotype" w:hAnsi="Palatino Linotype"/>
          <w:b/>
          <w:i/>
          <w:sz w:val="22"/>
          <w:szCs w:val="22"/>
        </w:rPr>
        <w:t xml:space="preserve">IV. </w:t>
      </w:r>
      <w:r w:rsidRPr="00AA4D94">
        <w:rPr>
          <w:rFonts w:ascii="Palatino Linotype" w:hAnsi="Palatino Linotype"/>
          <w:b/>
          <w:i/>
          <w:sz w:val="22"/>
          <w:szCs w:val="22"/>
          <w:u w:val="single"/>
        </w:rPr>
        <w:t>Llevar los registros contables, financieros y administrativos de los ingresos, egresos</w:t>
      </w:r>
      <w:r w:rsidRPr="00AA4D94">
        <w:rPr>
          <w:rFonts w:ascii="Palatino Linotype" w:hAnsi="Palatino Linotype"/>
          <w:i/>
          <w:sz w:val="22"/>
          <w:szCs w:val="22"/>
        </w:rPr>
        <w:t>, e inventarios;”</w:t>
      </w:r>
    </w:p>
    <w:p w:rsidR="00DC18EA" w:rsidRPr="00AA4D94" w:rsidRDefault="00340F86" w:rsidP="00340F86">
      <w:pPr>
        <w:autoSpaceDE w:val="0"/>
        <w:autoSpaceDN w:val="0"/>
        <w:adjustRightInd w:val="0"/>
        <w:spacing w:before="160" w:after="160"/>
        <w:ind w:left="709" w:right="616"/>
        <w:jc w:val="both"/>
        <w:rPr>
          <w:rFonts w:ascii="Palatino Linotype" w:eastAsiaTheme="minorEastAsia" w:hAnsi="Palatino Linotype" w:cs="Arial"/>
          <w:i/>
        </w:rPr>
      </w:pPr>
      <w:r w:rsidRPr="00AA4D94">
        <w:rPr>
          <w:rFonts w:ascii="Palatino Linotype" w:hAnsi="Palatino Linotype"/>
          <w:sz w:val="22"/>
          <w:szCs w:val="22"/>
        </w:rPr>
        <w:t>(Énfasis añadido)</w:t>
      </w:r>
    </w:p>
    <w:p w:rsidR="00DC18EA" w:rsidRPr="00AA4D94" w:rsidRDefault="00DC18EA" w:rsidP="00DC18EA">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rPr>
      </w:pPr>
      <w:r w:rsidRPr="00AA4D94">
        <w:rPr>
          <w:rFonts w:ascii="Palatino Linotype" w:eastAsiaTheme="minorEastAsia" w:hAnsi="Palatino Linotype" w:cs="Arial"/>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w:t>
      </w:r>
      <w:r w:rsidRPr="00AA4D94">
        <w:rPr>
          <w:rFonts w:ascii="Palatino Linotype" w:hAnsi="Palatino Linotype"/>
        </w:rPr>
        <w:t>diciembre</w:t>
      </w:r>
      <w:r w:rsidRPr="00AA4D94">
        <w:rPr>
          <w:rFonts w:ascii="Palatino Linotype" w:eastAsiaTheme="minorEastAsia" w:hAnsi="Palatino Linotype" w:cs="Arial"/>
        </w:rPr>
        <w:t xml:space="preserve"> del año del año inmediato anterior, por lo que señala que será atribución del Tesorero Municipal, el llevar los registros contables, financieros y administrativos de los ingresos, egresos e inventarios. </w:t>
      </w:r>
    </w:p>
    <w:p w:rsidR="00DC18EA" w:rsidRPr="00AA4D94" w:rsidRDefault="00DC18EA" w:rsidP="00DC18EA">
      <w:pPr>
        <w:autoSpaceDE w:val="0"/>
        <w:autoSpaceDN w:val="0"/>
        <w:adjustRightInd w:val="0"/>
        <w:spacing w:line="360" w:lineRule="auto"/>
        <w:ind w:right="49"/>
        <w:jc w:val="both"/>
        <w:rPr>
          <w:rFonts w:ascii="Palatino Linotype" w:eastAsiaTheme="minorEastAsia" w:hAnsi="Palatino Linotype" w:cs="Arial"/>
        </w:rPr>
      </w:pPr>
      <w:r w:rsidRPr="00AA4D94">
        <w:rPr>
          <w:rFonts w:ascii="Palatino Linotype" w:eastAsiaTheme="minorEastAsia" w:hAnsi="Palatino Linotype" w:cs="Arial"/>
        </w:rPr>
        <w:t>Por su parte, los artículos 343, 344 y 345 del Código Financiero del Estado de México y Municipios señalan el sistema y las políticas que deben seguirse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avaluación y contabilidad gubernamental, en los siguientes términos:</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Artículo 343</w:t>
      </w:r>
      <w:r w:rsidRPr="00AA4D94">
        <w:rPr>
          <w:rFonts w:ascii="Palatino Linotype" w:hAnsi="Palatino Linotype"/>
          <w:i/>
          <w:sz w:val="22"/>
          <w:szCs w:val="22"/>
        </w:rPr>
        <w:t xml:space="preserve">.- </w:t>
      </w:r>
      <w:r w:rsidRPr="00AA4D94">
        <w:rPr>
          <w:rFonts w:ascii="Palatino Linotype" w:hAnsi="Palatino Linotype"/>
          <w:b/>
          <w:i/>
          <w:sz w:val="22"/>
          <w:szCs w:val="22"/>
          <w:u w:val="single"/>
        </w:rPr>
        <w:t xml:space="preserve">El sistema de contabilidad debe diseñarse sobre base acumulativa total y operarse en forma que facilite la fiscalización de los </w:t>
      </w:r>
      <w:r w:rsidRPr="00AA4D94">
        <w:rPr>
          <w:rFonts w:ascii="Palatino Linotype" w:hAnsi="Palatino Linotype"/>
          <w:b/>
          <w:i/>
          <w:sz w:val="22"/>
          <w:szCs w:val="22"/>
          <w:u w:val="single"/>
        </w:rPr>
        <w:lastRenderedPageBreak/>
        <w:t>activos, pasivos, ingresos, egresos</w:t>
      </w:r>
      <w:r w:rsidRPr="00AA4D94">
        <w:rPr>
          <w:rFonts w:ascii="Palatino Linotype" w:hAnsi="Palatino Linotype"/>
          <w:i/>
          <w:sz w:val="22"/>
          <w:szCs w:val="22"/>
        </w:rPr>
        <w:t xml:space="preserve"> y, en general, que posibilite medir la eficacia del gasto público, y contener las medidas de control interno que permitan verificar el registro de la totalidad de las operaciones financieras. </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El sistema de contabilidad sobre base acumulativa total se sustentará en los postulados básicos y el marco conceptual de la contabilidad gubernamental."</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Artículo 344</w:t>
      </w:r>
      <w:r w:rsidRPr="00AA4D94">
        <w:rPr>
          <w:rFonts w:ascii="Palatino Linotype" w:hAnsi="Palatino Linotype"/>
          <w:i/>
          <w:sz w:val="22"/>
          <w:szCs w:val="22"/>
        </w:rPr>
        <w:t xml:space="preserve">.- </w:t>
      </w:r>
      <w:r w:rsidRPr="00AA4D94">
        <w:rPr>
          <w:rFonts w:ascii="Palatino Linotype" w:hAnsi="Palatino Linotype"/>
          <w:b/>
          <w:i/>
          <w:sz w:val="22"/>
          <w:szCs w:val="22"/>
          <w:u w:val="single"/>
        </w:rPr>
        <w:t>Las Dependencias, Entidades Públicas y unidades administrativas registrarán contablemente el efecto patrimonial y presupuesta/ de las operaciones financieras que realicen</w:t>
      </w:r>
      <w:r w:rsidRPr="00AA4D94">
        <w:rPr>
          <w:rFonts w:ascii="Palatino Linotype" w:hAnsi="Palatino Linotype"/>
          <w:i/>
          <w:sz w:val="22"/>
          <w:szCs w:val="22"/>
        </w:rPr>
        <w:t xml:space="preserve">, en el momento en que ocurran, con base en el sistema y políticas de registro establecidas, en el caso de los Municipios se hará por la Tesorería. </w:t>
      </w:r>
    </w:p>
    <w:p w:rsidR="00DC18EA" w:rsidRPr="00AA4D94" w:rsidRDefault="00340F86"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00DC18EA" w:rsidRPr="00AA4D94">
        <w:rPr>
          <w:rFonts w:ascii="Palatino Linotype" w:hAnsi="Palatino Linotype"/>
          <w:i/>
          <w:sz w:val="22"/>
          <w:szCs w:val="22"/>
        </w:rPr>
        <w:t>…</w:t>
      </w:r>
      <w:r w:rsidRPr="00AA4D94">
        <w:rPr>
          <w:rFonts w:ascii="Palatino Linotype" w:hAnsi="Palatino Linotype"/>
          <w:i/>
          <w:sz w:val="22"/>
          <w:szCs w:val="22"/>
        </w:rPr>
        <w:t>]</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AA4D94">
        <w:rPr>
          <w:rFonts w:ascii="Palatino Linotype" w:hAnsi="Palatino Linotype"/>
          <w:i/>
          <w:sz w:val="22"/>
          <w:szCs w:val="22"/>
        </w:rPr>
        <w:t xml:space="preserve">,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 xml:space="preserve">Tratándose de documentos de carácter histórico, se estará a lo dispuesto por la legislación de la materia. " </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b/>
          <w:i/>
          <w:sz w:val="22"/>
          <w:szCs w:val="22"/>
        </w:rPr>
        <w:t xml:space="preserve">Artículo 345.- </w:t>
      </w:r>
      <w:r w:rsidRPr="00AA4D94">
        <w:rPr>
          <w:rFonts w:ascii="Palatino Linotype" w:hAnsi="Palatino Linotype"/>
          <w:b/>
          <w:i/>
          <w:sz w:val="22"/>
          <w:szCs w:val="22"/>
          <w:u w:val="single"/>
        </w:rPr>
        <w:t>Las Dependencias, Entidades Públicas y unidades administrativas deberán conservar la documentación contable del año en curso y la de ejercicios anteriores</w:t>
      </w:r>
      <w:r w:rsidRPr="00AA4D94">
        <w:rPr>
          <w:rFonts w:ascii="Palatino Linotype" w:hAnsi="Palatino Linotype"/>
          <w:b/>
          <w:i/>
          <w:sz w:val="22"/>
          <w:szCs w:val="22"/>
        </w:rPr>
        <w:t xml:space="preserve"> </w:t>
      </w:r>
      <w:r w:rsidRPr="00AA4D94">
        <w:rPr>
          <w:rFonts w:ascii="Palatino Linotype" w:hAnsi="Palatino Linotype"/>
          <w:i/>
          <w:sz w:val="22"/>
          <w:szCs w:val="22"/>
        </w:rPr>
        <w:t xml:space="preserve">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El plazo señalado en el párrafo anterior, empezará a contar a partir de la publicación en el Periódico Oficial, del decreto correspondiente."</w:t>
      </w:r>
    </w:p>
    <w:p w:rsidR="00340F86" w:rsidRPr="00AA4D94" w:rsidRDefault="00340F86" w:rsidP="00F45369">
      <w:pPr>
        <w:autoSpaceDE w:val="0"/>
        <w:autoSpaceDN w:val="0"/>
        <w:adjustRightInd w:val="0"/>
        <w:spacing w:before="120" w:after="120"/>
        <w:ind w:left="709" w:right="616"/>
        <w:jc w:val="both"/>
        <w:rPr>
          <w:rFonts w:ascii="Palatino Linotype" w:eastAsiaTheme="minorEastAsia" w:hAnsi="Palatino Linotype" w:cs="Arial"/>
          <w:i/>
        </w:rPr>
      </w:pPr>
      <w:r w:rsidRPr="00AA4D94">
        <w:rPr>
          <w:rFonts w:ascii="Palatino Linotype" w:hAnsi="Palatino Linotype"/>
          <w:sz w:val="22"/>
          <w:szCs w:val="22"/>
        </w:rPr>
        <w:t>(Énfasis añadido)</w:t>
      </w:r>
    </w:p>
    <w:p w:rsidR="00DC18EA" w:rsidRPr="00AA4D94" w:rsidRDefault="00DC18EA" w:rsidP="00DC18EA">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rPr>
      </w:pPr>
      <w:r w:rsidRPr="00AA4D94">
        <w:rPr>
          <w:rFonts w:ascii="Palatino Linotype" w:eastAsiaTheme="minorEastAsia" w:hAnsi="Palatino Linotype" w:cs="Arial"/>
        </w:rPr>
        <w:t xml:space="preserve">De una interpretación </w:t>
      </w:r>
      <w:r w:rsidR="00340F86" w:rsidRPr="00AA4D94">
        <w:rPr>
          <w:rFonts w:ascii="Palatino Linotype" w:eastAsiaTheme="minorEastAsia" w:hAnsi="Palatino Linotype" w:cs="Arial"/>
        </w:rPr>
        <w:t>armónica</w:t>
      </w:r>
      <w:r w:rsidRPr="00AA4D94">
        <w:rPr>
          <w:rFonts w:ascii="Palatino Linotype" w:eastAsiaTheme="minorEastAsia" w:hAnsi="Palatino Linotype" w:cs="Arial"/>
        </w:rPr>
        <w:t xml:space="preserve"> de los artículos transcritos, se desprende que el sistema de contabilidad debe diseñarse de tal forma que facilite la fiscalización de los pasivos, activos, ingresos y egresos en general para que se pueda medir la eficacia del gasto </w:t>
      </w:r>
      <w:r w:rsidRPr="00AA4D94">
        <w:rPr>
          <w:rFonts w:ascii="Palatino Linotype" w:hAnsi="Palatino Linotype"/>
        </w:rPr>
        <w:t>público</w:t>
      </w:r>
      <w:r w:rsidRPr="00AA4D94">
        <w:rPr>
          <w:rFonts w:ascii="Palatino Linotype" w:eastAsiaTheme="minorEastAsia" w:hAnsi="Palatino Linotype" w:cs="Arial"/>
        </w:rPr>
        <w:t xml:space="preserve">, es decir que se pueda tener un control de los recursos que permita la vigilancia </w:t>
      </w:r>
      <w:r w:rsidRPr="00AA4D94">
        <w:rPr>
          <w:rFonts w:ascii="Palatino Linotype" w:eastAsiaTheme="minorEastAsia" w:hAnsi="Palatino Linotype" w:cs="Arial"/>
        </w:rPr>
        <w:lastRenderedPageBreak/>
        <w:t>de los mismos y medir su grado de efectividad en su aplicación.</w:t>
      </w:r>
    </w:p>
    <w:p w:rsidR="00DC18EA" w:rsidRPr="00AA4D94" w:rsidRDefault="00DC18EA" w:rsidP="00F45369">
      <w:pPr>
        <w:pStyle w:val="Prrafodelista"/>
        <w:widowControl w:val="0"/>
        <w:autoSpaceDE w:val="0"/>
        <w:autoSpaceDN w:val="0"/>
        <w:adjustRightInd w:val="0"/>
        <w:spacing w:before="240" w:after="240" w:line="360" w:lineRule="auto"/>
        <w:ind w:left="0"/>
        <w:jc w:val="both"/>
        <w:rPr>
          <w:rFonts w:ascii="Palatino Linotype" w:eastAsiaTheme="minorEastAsia" w:hAnsi="Palatino Linotype" w:cs="Arial"/>
        </w:rPr>
      </w:pPr>
      <w:r w:rsidRPr="00AA4D94">
        <w:rPr>
          <w:rFonts w:ascii="Palatino Linotype" w:eastAsiaTheme="minorEastAsia" w:hAnsi="Palatino Linotype" w:cs="Arial"/>
        </w:rPr>
        <w:t xml:space="preserve">Para ello, las dependencias, entidades y unidades administrativas deberán registrar todas las operaciones financieras que realicen en el momento que ocurran, que para el caso del </w:t>
      </w:r>
      <w:r w:rsidR="00750E18" w:rsidRPr="00AA4D94">
        <w:rPr>
          <w:rFonts w:ascii="Palatino Linotype" w:hAnsi="Palatino Linotype" w:cs="Arial"/>
          <w:b/>
          <w:bCs/>
          <w:color w:val="000000"/>
        </w:rPr>
        <w:t xml:space="preserve">SUJETO OBLIGADO </w:t>
      </w:r>
      <w:r w:rsidRPr="00AA4D94">
        <w:rPr>
          <w:rFonts w:ascii="Palatino Linotype" w:eastAsiaTheme="minorEastAsia" w:hAnsi="Palatino Linotype" w:cs="Arial"/>
        </w:rPr>
        <w:t>será a través del su Tesorería, documentación que se deberá de conservar del año en curso y la de los ejercicios anteriores cuyas cuentas públicas ya hayan sido revisadas y fiscalizadas.</w:t>
      </w:r>
    </w:p>
    <w:p w:rsidR="00DC18EA" w:rsidRPr="00AA4D94" w:rsidRDefault="00DC18EA" w:rsidP="00F45369">
      <w:pPr>
        <w:pStyle w:val="Prrafodelista"/>
        <w:widowControl w:val="0"/>
        <w:autoSpaceDE w:val="0"/>
        <w:autoSpaceDN w:val="0"/>
        <w:adjustRightInd w:val="0"/>
        <w:spacing w:before="240" w:after="240" w:line="360" w:lineRule="auto"/>
        <w:ind w:left="0"/>
        <w:jc w:val="both"/>
        <w:rPr>
          <w:rFonts w:ascii="Palatino Linotype" w:eastAsiaTheme="minorEastAsia" w:hAnsi="Palatino Linotype" w:cs="Arial"/>
        </w:rPr>
      </w:pPr>
      <w:r w:rsidRPr="00AA4D94">
        <w:rPr>
          <w:rFonts w:ascii="Palatino Linotype" w:eastAsiaTheme="minorEastAsia"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DC18EA" w:rsidRPr="00AA4D94" w:rsidRDefault="00DC18EA"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REGISTRO CONTABLE</w:t>
      </w:r>
      <w:r w:rsidRPr="00AA4D94">
        <w:rPr>
          <w:rFonts w:ascii="Palatino Linotype" w:hAnsi="Palatino Linotype"/>
          <w:i/>
          <w:sz w:val="22"/>
          <w:szCs w:val="22"/>
        </w:rPr>
        <w:t xml:space="preserve"> </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 xml:space="preserve">Asiento que se realiza en los libros </w:t>
      </w:r>
      <w:r w:rsidRPr="00AA4D94">
        <w:rPr>
          <w:rFonts w:ascii="Palatino Linotype" w:hAnsi="Palatino Linotype"/>
          <w:i/>
        </w:rPr>
        <w:t>de</w:t>
      </w:r>
      <w:r w:rsidRPr="00AA4D94">
        <w:rPr>
          <w:rFonts w:ascii="Palatino Linotype" w:hAnsi="Palatino Linotype"/>
          <w:i/>
          <w:sz w:val="22"/>
          <w:szCs w:val="22"/>
        </w:rPr>
        <w:t xml:space="preserve"> contabilidad de las actividades relacionadas con el ingreso y</w:t>
      </w:r>
      <w:r w:rsidR="00340F86" w:rsidRPr="00AA4D94">
        <w:rPr>
          <w:rFonts w:ascii="Palatino Linotype" w:hAnsi="Palatino Linotype"/>
          <w:i/>
          <w:sz w:val="22"/>
          <w:szCs w:val="22"/>
        </w:rPr>
        <w:t xml:space="preserve"> egresos de un ente económico.</w:t>
      </w:r>
    </w:p>
    <w:p w:rsidR="00DC18EA" w:rsidRPr="00AA4D94" w:rsidRDefault="00340F86" w:rsidP="00F45369">
      <w:pPr>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p>
    <w:p w:rsidR="00DC18EA" w:rsidRPr="00AA4D94" w:rsidRDefault="00DC18EA" w:rsidP="00F45369">
      <w:pPr>
        <w:spacing w:before="120" w:after="120"/>
        <w:ind w:left="709" w:right="709"/>
        <w:jc w:val="both"/>
        <w:rPr>
          <w:rFonts w:ascii="Palatino Linotype" w:hAnsi="Palatino Linotype"/>
          <w:b/>
          <w:i/>
          <w:sz w:val="22"/>
          <w:szCs w:val="22"/>
        </w:rPr>
      </w:pPr>
      <w:r w:rsidRPr="00AA4D94">
        <w:rPr>
          <w:rFonts w:ascii="Palatino Linotype" w:hAnsi="Palatino Linotype"/>
          <w:b/>
          <w:i/>
          <w:sz w:val="22"/>
          <w:szCs w:val="22"/>
        </w:rPr>
        <w:t>REGISTRO PRESUPUESTARIO</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 xml:space="preserve">Asiento contable de las erogaciones realizadas por las dependencias y entidades con relación a la asignación, modificación y </w:t>
      </w:r>
      <w:r w:rsidRPr="00AA4D94">
        <w:rPr>
          <w:rFonts w:ascii="Palatino Linotype" w:hAnsi="Palatino Linotype"/>
          <w:i/>
        </w:rPr>
        <w:t>ejercicio</w:t>
      </w:r>
      <w:r w:rsidRPr="00AA4D94">
        <w:rPr>
          <w:rFonts w:ascii="Palatino Linotype" w:hAnsi="Palatino Linotype"/>
          <w:i/>
          <w:sz w:val="22"/>
          <w:szCs w:val="22"/>
        </w:rPr>
        <w:t xml:space="preserve"> de los recursos presupuestarios que se les hayan autorizado."</w:t>
      </w:r>
    </w:p>
    <w:p w:rsidR="00DC18EA" w:rsidRPr="00AA4D94" w:rsidRDefault="00DC18EA" w:rsidP="00DC18EA">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rPr>
      </w:pPr>
      <w:r w:rsidRPr="00AA4D94">
        <w:rPr>
          <w:rFonts w:ascii="Palatino Linotype" w:eastAsiaTheme="minorEastAsia" w:hAnsi="Palatino Linotype" w:cs="Arial"/>
        </w:rPr>
        <w:lastRenderedPageBreak/>
        <w:t xml:space="preserve">Como bien se desprende de las definiciones, los registros contables y presupuestarios son asientos o anotaciones contables que se realizan tanto de los ingresos como de los egresos, es decir, que se trata de un control financiero que para el caso del Ayuntamiento tendrá la obligación el Tesorero se llevar dicho registro; como ha sido mencionado en la normatividad antes citada, todo registro contable y presupuestal deberá estar soportado con los documentos comprobatorios originales, como lo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rsidR="00DC18EA" w:rsidRPr="00AA4D94" w:rsidRDefault="00DC18EA" w:rsidP="00F45369">
      <w:pPr>
        <w:pStyle w:val="Prrafodelista"/>
        <w:widowControl w:val="0"/>
        <w:autoSpaceDE w:val="0"/>
        <w:autoSpaceDN w:val="0"/>
        <w:adjustRightInd w:val="0"/>
        <w:spacing w:before="300" w:after="240" w:line="360" w:lineRule="auto"/>
        <w:ind w:left="0"/>
        <w:jc w:val="both"/>
        <w:rPr>
          <w:rFonts w:ascii="Palatino Linotype" w:eastAsiaTheme="minorEastAsia" w:hAnsi="Palatino Linotype" w:cs="Arial"/>
        </w:rPr>
      </w:pPr>
      <w:r w:rsidRPr="00AA4D94">
        <w:rPr>
          <w:rFonts w:ascii="Palatino Linotype" w:eastAsiaTheme="minorEastAsia" w:hAnsi="Palatino Linotype" w:cs="Arial"/>
        </w:rPr>
        <w:t xml:space="preserve">Atento a lo anterior, resulta claro que las facturas o comprobantes son documentos que </w:t>
      </w:r>
      <w:r w:rsidR="00750E18" w:rsidRPr="00AA4D94">
        <w:rPr>
          <w:rFonts w:ascii="Palatino Linotype" w:eastAsiaTheme="minorEastAsia" w:hAnsi="Palatino Linotype" w:cs="Arial"/>
          <w:b/>
        </w:rPr>
        <w:t xml:space="preserve">EL </w:t>
      </w:r>
      <w:r w:rsidR="00750E18" w:rsidRPr="00AA4D94">
        <w:rPr>
          <w:rFonts w:ascii="Palatino Linotype" w:hAnsi="Palatino Linotype" w:cs="Arial"/>
          <w:b/>
          <w:bCs/>
          <w:color w:val="000000"/>
        </w:rPr>
        <w:t xml:space="preserve">SUJETO OBLIGADO </w:t>
      </w:r>
      <w:r w:rsidRPr="00AA4D94">
        <w:rPr>
          <w:rFonts w:ascii="Palatino Linotype" w:eastAsiaTheme="minorEastAsia" w:hAnsi="Palatino Linotype" w:cs="Arial"/>
        </w:rPr>
        <w:t>generó en el ejercicio de sus atribuciones, y por lo cual se considera son el documento que de manera enunciativa más no limitativa podría satisfacer el derecho del particular.</w:t>
      </w:r>
    </w:p>
    <w:p w:rsidR="00DC18EA" w:rsidRPr="00AA4D94" w:rsidRDefault="00DC18EA" w:rsidP="00F45369">
      <w:pPr>
        <w:pStyle w:val="Prrafodelista"/>
        <w:widowControl w:val="0"/>
        <w:autoSpaceDE w:val="0"/>
        <w:autoSpaceDN w:val="0"/>
        <w:adjustRightInd w:val="0"/>
        <w:spacing w:before="300" w:after="240" w:line="360" w:lineRule="auto"/>
        <w:ind w:left="0"/>
        <w:jc w:val="both"/>
        <w:rPr>
          <w:rFonts w:ascii="Palatino Linotype" w:eastAsiaTheme="minorEastAsia" w:hAnsi="Palatino Linotype" w:cs="Arial"/>
        </w:rPr>
      </w:pPr>
      <w:r w:rsidRPr="00AA4D94">
        <w:rPr>
          <w:rFonts w:ascii="Palatino Linotype" w:eastAsiaTheme="minorEastAsia" w:hAnsi="Palatino Linotype" w:cs="Arial"/>
        </w:rPr>
        <w:t xml:space="preserve">De igual forma se considera que la expresión documental en la cual podría obrar la información relacionada con el importe por concepto de alumbrado público facturado por la Comisión Federal de Electricidad </w:t>
      </w:r>
      <w:r w:rsidR="00340F86" w:rsidRPr="00AA4D94">
        <w:rPr>
          <w:rFonts w:ascii="Palatino Linotype" w:eastAsiaTheme="minorEastAsia" w:hAnsi="Palatino Linotype" w:cs="Arial"/>
        </w:rPr>
        <w:t>es el</w:t>
      </w:r>
      <w:r w:rsidRPr="00AA4D94">
        <w:rPr>
          <w:rFonts w:ascii="Palatino Linotype" w:eastAsiaTheme="minorEastAsia" w:hAnsi="Palatino Linotype" w:cs="Arial"/>
        </w:rPr>
        <w:t xml:space="preserve"> Aviso Recibo</w:t>
      </w:r>
      <w:r w:rsidR="00340F86" w:rsidRPr="00AA4D94">
        <w:rPr>
          <w:rStyle w:val="Refdenotaalpie"/>
          <w:rFonts w:ascii="Palatino Linotype" w:eastAsiaTheme="minorEastAsia" w:hAnsi="Palatino Linotype" w:cs="Arial"/>
        </w:rPr>
        <w:footnoteReference w:id="2"/>
      </w:r>
      <w:r w:rsidR="00F45369" w:rsidRPr="00AA4D94">
        <w:rPr>
          <w:rFonts w:ascii="Palatino Linotype" w:eastAsiaTheme="minorEastAsia" w:hAnsi="Palatino Linotype" w:cs="Arial"/>
        </w:rPr>
        <w:t>,</w:t>
      </w:r>
      <w:r w:rsidRPr="00AA4D94">
        <w:rPr>
          <w:rFonts w:ascii="Palatino Linotype" w:eastAsiaTheme="minorEastAsia" w:hAnsi="Palatino Linotype" w:cs="Arial"/>
        </w:rPr>
        <w:t xml:space="preserve"> de conformidad con la siguiente imagen: </w:t>
      </w:r>
      <w:r w:rsidR="00F45369" w:rsidRPr="00AA4D94">
        <w:rPr>
          <w:rFonts w:ascii="Palatino Linotype" w:eastAsiaTheme="minorEastAsia"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w:t>
      </w:r>
    </w:p>
    <w:p w:rsidR="00DC18EA" w:rsidRPr="00AA4D94" w:rsidRDefault="00DC18EA" w:rsidP="00340F86">
      <w:pPr>
        <w:jc w:val="center"/>
        <w:rPr>
          <w:rFonts w:ascii="Palatino Linotype" w:hAnsi="Palatino Linotype" w:cs="Arial"/>
        </w:rPr>
      </w:pPr>
      <w:r w:rsidRPr="00AA4D94">
        <w:rPr>
          <w:rFonts w:ascii="Palatino Linotype" w:hAnsi="Palatino Linotype"/>
          <w:noProof/>
          <w:lang w:eastAsia="es-MX"/>
        </w:rPr>
        <w:lastRenderedPageBreak/>
        <w:drawing>
          <wp:inline distT="0" distB="0" distL="0" distR="0" wp14:anchorId="04C82C39" wp14:editId="0E5541D4">
            <wp:extent cx="4723115" cy="5957248"/>
            <wp:effectExtent l="0" t="0" r="190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8274" cy="6039432"/>
                    </a:xfrm>
                    <a:prstGeom prst="rect">
                      <a:avLst/>
                    </a:prstGeom>
                  </pic:spPr>
                </pic:pic>
              </a:graphicData>
            </a:graphic>
          </wp:inline>
        </w:drawing>
      </w:r>
    </w:p>
    <w:p w:rsidR="00DC18EA" w:rsidRPr="00AA4D94" w:rsidRDefault="00DC18EA" w:rsidP="00DC18EA">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cs="Arial"/>
        </w:rPr>
        <w:t xml:space="preserve">De la cuadro anterior se aprecia que el aviso recibo, es el recibo que expide la Comisión Federal de Electricidad por concepto de pago del servicio de luz, mismo que contiene los </w:t>
      </w:r>
      <w:r w:rsidRPr="00AA4D94">
        <w:rPr>
          <w:rFonts w:ascii="Palatino Linotype" w:hAnsi="Palatino Linotype"/>
        </w:rPr>
        <w:t>siguientes datos: datos generales, cálculo de consumo bimestral, periodo de facturación, medición del consumo, detalle de facturación, avisos importantes y talón de caja.</w:t>
      </w:r>
    </w:p>
    <w:p w:rsidR="00DC18EA" w:rsidRPr="00AA4D94" w:rsidRDefault="00DC18EA" w:rsidP="00013707">
      <w:pPr>
        <w:pStyle w:val="Prrafodelista"/>
        <w:widowControl w:val="0"/>
        <w:autoSpaceDE w:val="0"/>
        <w:autoSpaceDN w:val="0"/>
        <w:adjustRightInd w:val="0"/>
        <w:spacing w:before="240" w:after="240" w:line="360" w:lineRule="auto"/>
        <w:ind w:left="0"/>
        <w:jc w:val="both"/>
        <w:rPr>
          <w:rFonts w:ascii="Palatino Linotype" w:hAnsi="Palatino Linotype"/>
        </w:rPr>
      </w:pPr>
      <w:r w:rsidRPr="00AA4D94">
        <w:rPr>
          <w:rFonts w:ascii="Palatino Linotype" w:hAnsi="Palatino Linotype"/>
        </w:rPr>
        <w:lastRenderedPageBreak/>
        <w:t xml:space="preserve">En ese sentido, el comprobante de pago emitido por la </w:t>
      </w:r>
      <w:r w:rsidR="00340F86" w:rsidRPr="00AA4D94">
        <w:rPr>
          <w:rFonts w:ascii="Palatino Linotype" w:hAnsi="Palatino Linotype" w:cs="Arial"/>
        </w:rPr>
        <w:t>Comisión Federal de Electricidad</w:t>
      </w:r>
      <w:r w:rsidR="00340F86" w:rsidRPr="00AA4D94">
        <w:rPr>
          <w:rFonts w:ascii="Palatino Linotype" w:hAnsi="Palatino Linotype"/>
        </w:rPr>
        <w:t xml:space="preserve"> </w:t>
      </w:r>
      <w:r w:rsidRPr="00AA4D94">
        <w:rPr>
          <w:rFonts w:ascii="Palatino Linotype" w:hAnsi="Palatino Linotype"/>
        </w:rPr>
        <w:t>sería el documento del cual se desprenderían los requerimientos de la particular, toda vez que de ahí se pude advertir el importe por concepto de alumbrado público por bimestre a partir del uno de enero del año dos mil trece y hasta el trece de noviembre de dos mil dieciocho.</w:t>
      </w:r>
    </w:p>
    <w:p w:rsidR="00DC18EA" w:rsidRPr="00AA4D94" w:rsidRDefault="00DC18EA" w:rsidP="0073092D">
      <w:pPr>
        <w:pStyle w:val="Prrafodelista"/>
        <w:widowControl w:val="0"/>
        <w:autoSpaceDE w:val="0"/>
        <w:autoSpaceDN w:val="0"/>
        <w:adjustRightInd w:val="0"/>
        <w:spacing w:before="300" w:after="240" w:line="360" w:lineRule="auto"/>
        <w:ind w:left="0"/>
        <w:jc w:val="both"/>
        <w:rPr>
          <w:rFonts w:ascii="Palatino Linotype" w:hAnsi="Palatino Linotype"/>
        </w:rPr>
      </w:pPr>
      <w:r w:rsidRPr="00AA4D94">
        <w:rPr>
          <w:rFonts w:ascii="Palatino Linotype" w:hAnsi="Palatino Linotype"/>
        </w:rPr>
        <w:t>Por otro lado, con respecto a los</w:t>
      </w:r>
      <w:r w:rsidR="00F45369" w:rsidRPr="00AA4D94">
        <w:rPr>
          <w:rFonts w:ascii="Palatino Linotype" w:hAnsi="Palatino Linotype"/>
          <w:b/>
        </w:rPr>
        <w:t xml:space="preserve"> Apartado I, numerales 3 y 4</w:t>
      </w:r>
      <w:r w:rsidRPr="00AA4D94">
        <w:rPr>
          <w:rFonts w:ascii="Palatino Linotype" w:hAnsi="Palatino Linotype"/>
        </w:rPr>
        <w:t>, relativos a las partidas presupuestales que se utilizaron y montos que se erogaron para el mantenimiento del sistema de alumbrado público y para cubrir las facturas por concepto de consumo de energía eléctrica en el sistema de alumbrado público del uno de enero del año dos mil trece y hasta el trece de noviembre de dos mil dieciocho; al respecto, tenemos que el presupuesto es definido en el Código Financiero del Estado de México y Municipios, particularmente en su artículo 285, como el instrumento jurídico de la política de gasto que aprueba la legislatura, en el cual se establece el ejercicio, control y evaluación del gasto público durante el ejercicio fiscal correspondiente y que para el caso de los Municipios será el Ayuntamiento quien lo apruebe en una sesión de cabildo.</w:t>
      </w:r>
    </w:p>
    <w:p w:rsidR="00DC18EA" w:rsidRPr="00AA4D94" w:rsidRDefault="00DC18EA" w:rsidP="0073092D">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AA4D94">
        <w:rPr>
          <w:rFonts w:ascii="Palatino Linotype" w:hAnsi="Palatino Linotype"/>
        </w:rPr>
        <w:t>Ahora bien, el Manual Único de Contabilidad Gubernamental para las Dependencias y Entidades Públicas del Gobierno y Municipios del Estado de México en sus ediciones 2013 a 2018</w:t>
      </w:r>
      <w:r w:rsidR="00D84227" w:rsidRPr="00AA4D94">
        <w:rPr>
          <w:rStyle w:val="Refdenotaalpie"/>
          <w:rFonts w:ascii="Palatino Linotype" w:hAnsi="Palatino Linotype"/>
        </w:rPr>
        <w:footnoteReference w:id="3"/>
      </w:r>
      <w:r w:rsidRPr="00AA4D94">
        <w:rPr>
          <w:rFonts w:ascii="Palatino Linotype" w:hAnsi="Palatino Linotype"/>
        </w:rPr>
        <w:t xml:space="preserve">, tiene como objetivo el proporcionar a las entidades de la administración pública Estatal y Municipal, los elementos necesarios que les permitan contabilizar sus operaciones al establecer los criterios en materia de contabilidad gubernamental; el </w:t>
      </w:r>
      <w:r w:rsidRPr="00AA4D94">
        <w:rPr>
          <w:rFonts w:ascii="Palatino Linotype" w:hAnsi="Palatino Linotype"/>
        </w:rPr>
        <w:lastRenderedPageBreak/>
        <w:t>instrumento básico</w:t>
      </w:r>
      <w:r w:rsidRPr="00AA4D94">
        <w:rPr>
          <w:rFonts w:ascii="Palatino Linotype" w:hAnsi="Palatino Linotype" w:cs="Arial"/>
        </w:rPr>
        <w:t xml:space="preserve">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rsidR="00DC18EA" w:rsidRPr="00AA4D94" w:rsidRDefault="00DC18EA" w:rsidP="0073092D">
      <w:pPr>
        <w:pStyle w:val="Prrafodelista"/>
        <w:widowControl w:val="0"/>
        <w:autoSpaceDE w:val="0"/>
        <w:autoSpaceDN w:val="0"/>
        <w:adjustRightInd w:val="0"/>
        <w:spacing w:before="300" w:line="360" w:lineRule="auto"/>
        <w:ind w:left="0"/>
        <w:jc w:val="both"/>
        <w:rPr>
          <w:rFonts w:ascii="Palatino Linotype" w:hAnsi="Palatino Linotype" w:cs="Arial"/>
        </w:rPr>
      </w:pPr>
      <w:r w:rsidRPr="00AA4D94">
        <w:rPr>
          <w:rFonts w:ascii="Palatino Linotype" w:hAnsi="Palatino Linotype" w:cs="Arial"/>
        </w:rPr>
        <w:t xml:space="preserve">Es así, como el Clasificador por objeto de gasto de los años requeridos, </w:t>
      </w:r>
      <w:r w:rsidRPr="00AA4D94">
        <w:rPr>
          <w:rFonts w:ascii="Palatino Linotype" w:hAnsi="Palatino Linotype"/>
        </w:rPr>
        <w:t>establece</w:t>
      </w:r>
      <w:r w:rsidRPr="00AA4D94">
        <w:rPr>
          <w:rFonts w:ascii="Palatino Linotype" w:hAnsi="Palatino Linotype" w:cs="Arial"/>
        </w:rPr>
        <w:t xml:space="preserve"> la partida y el concepto del tema que nos ocupa, de la siguiente manera:</w:t>
      </w:r>
    </w:p>
    <w:p w:rsidR="00DC18EA" w:rsidRPr="00AA4D94" w:rsidRDefault="0073092D" w:rsidP="00693312">
      <w:pPr>
        <w:jc w:val="center"/>
        <w:rPr>
          <w:rFonts w:ascii="Palatino Linotype" w:hAnsi="Palatino Linotype" w:cs="Arial"/>
          <w:lang w:eastAsia="es-MX"/>
        </w:rPr>
      </w:pPr>
      <w:r w:rsidRPr="00AA4D94">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7CB218D" wp14:editId="46D31FA0">
                <wp:simplePos x="0" y="0"/>
                <wp:positionH relativeFrom="margin">
                  <wp:posOffset>102951</wp:posOffset>
                </wp:positionH>
                <wp:positionV relativeFrom="paragraph">
                  <wp:posOffset>2292522</wp:posOffset>
                </wp:positionV>
                <wp:extent cx="1534112" cy="169012"/>
                <wp:effectExtent l="0" t="0" r="28575" b="21590"/>
                <wp:wrapNone/>
                <wp:docPr id="12" name="Rectángulo 12"/>
                <wp:cNvGraphicFramePr/>
                <a:graphic xmlns:a="http://schemas.openxmlformats.org/drawingml/2006/main">
                  <a:graphicData uri="http://schemas.microsoft.com/office/word/2010/wordprocessingShape">
                    <wps:wsp>
                      <wps:cNvSpPr/>
                      <wps:spPr>
                        <a:xfrm>
                          <a:off x="0" y="0"/>
                          <a:ext cx="1534112" cy="16901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8E640" id="Rectángulo 12" o:spid="_x0000_s1026" style="position:absolute;margin-left:8.1pt;margin-top:180.5pt;width:120.8pt;height:1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" filled="f" strokecolor="red" strokeweight="1pt">
                <w10:wrap anchorx="margin"/>
              </v:rect>
            </w:pict>
          </mc:Fallback>
        </mc:AlternateContent>
      </w:r>
      <w:r w:rsidRPr="00AA4D94">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7CCB4CEE" wp14:editId="1E533B34">
                <wp:simplePos x="0" y="0"/>
                <wp:positionH relativeFrom="margin">
                  <wp:posOffset>102951</wp:posOffset>
                </wp:positionH>
                <wp:positionV relativeFrom="paragraph">
                  <wp:posOffset>2595877</wp:posOffset>
                </wp:positionV>
                <wp:extent cx="3130906" cy="160345"/>
                <wp:effectExtent l="0" t="0" r="12700" b="11430"/>
                <wp:wrapNone/>
                <wp:docPr id="15" name="Rectángulo 15"/>
                <wp:cNvGraphicFramePr/>
                <a:graphic xmlns:a="http://schemas.openxmlformats.org/drawingml/2006/main">
                  <a:graphicData uri="http://schemas.microsoft.com/office/word/2010/wordprocessingShape">
                    <wps:wsp>
                      <wps:cNvSpPr/>
                      <wps:spPr>
                        <a:xfrm>
                          <a:off x="0" y="0"/>
                          <a:ext cx="3130906" cy="16034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2E1CC" id="Rectángulo 15" o:spid="_x0000_s1026" style="position:absolute;margin-left:8.1pt;margin-top:204.4pt;width:246.55pt;height:1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" filled="f" strokecolor="red" strokeweight="1pt">
                <w10:wrap anchorx="margin"/>
              </v:rect>
            </w:pict>
          </mc:Fallback>
        </mc:AlternateContent>
      </w:r>
      <w:r w:rsidR="00DC18EA" w:rsidRPr="00AA4D94">
        <w:rPr>
          <w:rFonts w:ascii="Palatino Linotype" w:hAnsi="Palatino Linotype"/>
          <w:noProof/>
          <w:lang w:eastAsia="es-MX"/>
        </w:rPr>
        <w:drawing>
          <wp:inline distT="0" distB="0" distL="0" distR="0" wp14:anchorId="7AF468DC" wp14:editId="0D67C6CC">
            <wp:extent cx="5685014" cy="301386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34" t="26890" r="19544" b="14848"/>
                    <a:stretch/>
                  </pic:blipFill>
                  <pic:spPr bwMode="auto">
                    <a:xfrm>
                      <a:off x="0" y="0"/>
                      <a:ext cx="5796475" cy="3072953"/>
                    </a:xfrm>
                    <a:prstGeom prst="rect">
                      <a:avLst/>
                    </a:prstGeom>
                    <a:ln>
                      <a:noFill/>
                    </a:ln>
                    <a:extLst>
                      <a:ext uri="{53640926-AAD7-44D8-BBD7-CCE9431645EC}">
                        <a14:shadowObscured xmlns:a14="http://schemas.microsoft.com/office/drawing/2010/main"/>
                      </a:ext>
                    </a:extLst>
                  </pic:spPr>
                </pic:pic>
              </a:graphicData>
            </a:graphic>
          </wp:inline>
        </w:drawing>
      </w:r>
    </w:p>
    <w:p w:rsidR="0073092D" w:rsidRPr="00AA4D94" w:rsidRDefault="0073092D" w:rsidP="0073092D">
      <w:pPr>
        <w:spacing w:before="240" w:after="240" w:line="360" w:lineRule="auto"/>
        <w:jc w:val="both"/>
        <w:rPr>
          <w:rFonts w:ascii="Palatino Linotype" w:hAnsi="Palatino Linotype" w:cs="Arial"/>
          <w:lang w:eastAsia="es-MX"/>
        </w:rPr>
      </w:pPr>
      <w:r w:rsidRPr="00AA4D94">
        <w:rPr>
          <w:rFonts w:ascii="Palatino Linotype" w:hAnsi="Palatino Linotype" w:cs="Arial"/>
          <w:lang w:eastAsia="es-MX"/>
        </w:rPr>
        <w:t xml:space="preserve">- - - - - - - - - - - - - - - - - - - - - - - - - - - - - - - - - - - - - - - - - - - - - - - - - - - - - - - - - - - - - - - - - - - - - - - - - - - - - - - - - - - - - - - - - - - - - - - - - - - - - - - - - - - - - - - - - - - - - - - - - - - - - - - - - - </w:t>
      </w:r>
    </w:p>
    <w:p w:rsidR="00DC18EA" w:rsidRPr="00AA4D94" w:rsidRDefault="00DC18EA" w:rsidP="00693312">
      <w:pPr>
        <w:spacing w:before="240"/>
        <w:jc w:val="center"/>
        <w:rPr>
          <w:rFonts w:ascii="Palatino Linotype" w:hAnsi="Palatino Linotype"/>
        </w:rPr>
      </w:pPr>
      <w:r w:rsidRPr="00AA4D94">
        <w:rPr>
          <w:rFonts w:ascii="Palatino Linotype" w:hAnsi="Palatino Linotype"/>
          <w:noProof/>
          <w:lang w:eastAsia="es-MX"/>
        </w:rPr>
        <w:lastRenderedPageBreak/>
        <w:drawing>
          <wp:inline distT="0" distB="0" distL="0" distR="0" wp14:anchorId="614231C9" wp14:editId="437CD645">
            <wp:extent cx="5120640" cy="1784369"/>
            <wp:effectExtent l="0" t="0" r="381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43" t="29423" r="19952" b="39205"/>
                    <a:stretch/>
                  </pic:blipFill>
                  <pic:spPr bwMode="auto">
                    <a:xfrm>
                      <a:off x="0" y="0"/>
                      <a:ext cx="5222878" cy="1819995"/>
                    </a:xfrm>
                    <a:prstGeom prst="rect">
                      <a:avLst/>
                    </a:prstGeom>
                    <a:ln>
                      <a:noFill/>
                    </a:ln>
                    <a:extLst>
                      <a:ext uri="{53640926-AAD7-44D8-BBD7-CCE9431645EC}">
                        <a14:shadowObscured xmlns:a14="http://schemas.microsoft.com/office/drawing/2010/main"/>
                      </a:ext>
                    </a:extLst>
                  </pic:spPr>
                </pic:pic>
              </a:graphicData>
            </a:graphic>
          </wp:inline>
        </w:drawing>
      </w:r>
    </w:p>
    <w:p w:rsidR="00DC18EA" w:rsidRPr="00AA4D94" w:rsidRDefault="00DC18EA" w:rsidP="00CA1743">
      <w:pPr>
        <w:pStyle w:val="Prrafodelista"/>
        <w:widowControl w:val="0"/>
        <w:autoSpaceDE w:val="0"/>
        <w:autoSpaceDN w:val="0"/>
        <w:adjustRightInd w:val="0"/>
        <w:spacing w:before="240" w:after="240" w:line="360" w:lineRule="auto"/>
        <w:ind w:left="0"/>
        <w:jc w:val="both"/>
        <w:rPr>
          <w:rFonts w:ascii="Palatino Linotype" w:hAnsi="Palatino Linotype"/>
        </w:rPr>
      </w:pPr>
      <w:r w:rsidRPr="00AA4D94">
        <w:rPr>
          <w:rFonts w:ascii="Palatino Linotype" w:hAnsi="Palatino Linotype" w:cs="Arial"/>
          <w:lang w:eastAsia="es-MX"/>
        </w:rPr>
        <w:t xml:space="preserve">Por </w:t>
      </w:r>
      <w:r w:rsidRPr="00AA4D94">
        <w:rPr>
          <w:rFonts w:ascii="Palatino Linotype" w:hAnsi="Palatino Linotype"/>
        </w:rPr>
        <w:t xml:space="preserve">consiguiente, el servicio de energía eléctrica para alumbrado público establece una partida dentro del citado Manual, con la finalidad de que </w:t>
      </w:r>
      <w:r w:rsidR="00750E18" w:rsidRPr="00AA4D94">
        <w:rPr>
          <w:rFonts w:ascii="Palatino Linotype" w:hAnsi="Palatino Linotype"/>
          <w:b/>
        </w:rPr>
        <w:t xml:space="preserve">EL </w:t>
      </w:r>
      <w:r w:rsidR="00750E18" w:rsidRPr="00AA4D94">
        <w:rPr>
          <w:rFonts w:ascii="Palatino Linotype" w:hAnsi="Palatino Linotype" w:cs="Arial"/>
          <w:b/>
          <w:bCs/>
          <w:color w:val="000000"/>
        </w:rPr>
        <w:t xml:space="preserve">SUJETO OBLIGADO </w:t>
      </w:r>
      <w:r w:rsidRPr="00AA4D94">
        <w:rPr>
          <w:rFonts w:ascii="Palatino Linotype" w:hAnsi="Palatino Linotype"/>
        </w:rPr>
        <w:t xml:space="preserve">pueda proporcionar información </w:t>
      </w:r>
      <w:r w:rsidRPr="00AA4D94">
        <w:rPr>
          <w:rFonts w:ascii="Palatino Linotype" w:hAnsi="Palatino Linotype" w:cs="Arial"/>
        </w:rPr>
        <w:t>financiera</w:t>
      </w:r>
      <w:r w:rsidRPr="00AA4D94">
        <w:rPr>
          <w:rFonts w:ascii="Palatino Linotype" w:hAnsi="Palatino Linotype"/>
        </w:rPr>
        <w:t xml:space="preserve">, presupuestaria, programática y económica para consolidarla y </w:t>
      </w:r>
      <w:r w:rsidRPr="00AA4D94">
        <w:rPr>
          <w:rFonts w:ascii="Palatino Linotype" w:hAnsi="Palatino Linotype" w:cs="Arial"/>
        </w:rPr>
        <w:t>presentarla</w:t>
      </w:r>
      <w:r w:rsidRPr="00AA4D94">
        <w:rPr>
          <w:rFonts w:ascii="Palatino Linotype" w:hAnsi="Palatino Linotype"/>
        </w:rPr>
        <w:t xml:space="preserve"> en la Cuenta Pública del Gobierno y Organismos Auxiliares del Estado de México, así como la Cuenta Pública Municipal y, como resultado, forma parte del presupuesto de egresos del Sujeto Obligado. </w:t>
      </w:r>
    </w:p>
    <w:p w:rsidR="00DC18EA" w:rsidRPr="00AA4D94" w:rsidRDefault="00DC18EA" w:rsidP="00CA1743">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Por otro lado, el Órgano Superior de Fiscalización del Estado de México (OSFEM), emite </w:t>
      </w:r>
      <w:r w:rsidRPr="00AA4D94">
        <w:rPr>
          <w:rFonts w:ascii="Palatino Linotype" w:hAnsi="Palatino Linotype" w:cs="Arial"/>
        </w:rPr>
        <w:t>anualmente</w:t>
      </w:r>
      <w:r w:rsidRPr="00AA4D94">
        <w:rPr>
          <w:rFonts w:ascii="Palatino Linotype" w:hAnsi="Palatino Linotype"/>
        </w:rPr>
        <w:t xml:space="preserve"> los Lineamientos para definir los criterios, formatos y documentación necesaria para </w:t>
      </w:r>
      <w:r w:rsidRPr="00AA4D94">
        <w:rPr>
          <w:rFonts w:ascii="Palatino Linotype" w:hAnsi="Palatino Linotype" w:cs="Arial"/>
        </w:rPr>
        <w:t>presentar</w:t>
      </w:r>
      <w:r w:rsidRPr="00AA4D94">
        <w:rPr>
          <w:rFonts w:ascii="Palatino Linotype" w:hAnsi="Palatino Linotype"/>
        </w:rPr>
        <w:t xml:space="preserve"> los informes mensuales, donde se detalla la información en 6 discos, los cuales deberán entregarse mensualmente al OSFEM, y de los que destaca, en relación con el análisis que nos ocupa, el “Disco 5”, relativo a “imágenes digitalizadas”.</w:t>
      </w:r>
    </w:p>
    <w:p w:rsidR="00DC18EA" w:rsidRPr="00AA4D94" w:rsidRDefault="00DC18EA" w:rsidP="00CA1743">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Dichos Lineamientos, son de observancia general para todos los servidores públicos de las entidades fiscalizables que </w:t>
      </w:r>
      <w:r w:rsidRPr="00AA4D94">
        <w:rPr>
          <w:rFonts w:ascii="Palatino Linotype" w:hAnsi="Palatino Linotype" w:cs="Arial"/>
        </w:rPr>
        <w:t>desempeñen</w:t>
      </w:r>
      <w:r w:rsidRPr="00AA4D94">
        <w:rPr>
          <w:rFonts w:ascii="Palatino Linotype" w:hAnsi="Palatino Linotype"/>
        </w:rPr>
        <w:t xml:space="preserve">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w:t>
      </w:r>
      <w:r w:rsidRPr="00AA4D94">
        <w:rPr>
          <w:rFonts w:ascii="Palatino Linotype" w:hAnsi="Palatino Linotype"/>
        </w:rPr>
        <w:lastRenderedPageBreak/>
        <w:t xml:space="preserve">término del mes </w:t>
      </w:r>
      <w:r w:rsidRPr="00AA4D94">
        <w:rPr>
          <w:rFonts w:ascii="Palatino Linotype" w:hAnsi="Palatino Linotype" w:cs="Arial"/>
        </w:rPr>
        <w:t>correspondiente</w:t>
      </w:r>
      <w:r w:rsidRPr="00AA4D94">
        <w:rPr>
          <w:rFonts w:ascii="Palatino Linotype" w:hAnsi="Palatino Linotype"/>
        </w:rPr>
        <w:t xml:space="preserve"> de acuerdo a lo establecido en el artículo 32 de la Ley de Fiscalización Superior del Estado de México, que a la letra dice:</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Artículo 32.-</w:t>
      </w:r>
      <w:r w:rsidRPr="00AA4D94">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DC18EA" w:rsidRPr="00AA4D94" w:rsidRDefault="00693312" w:rsidP="00AD492F">
      <w:pPr>
        <w:autoSpaceDE w:val="0"/>
        <w:autoSpaceDN w:val="0"/>
        <w:adjustRightInd w:val="0"/>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00DC18EA" w:rsidRPr="00AA4D94">
        <w:rPr>
          <w:rFonts w:ascii="Palatino Linotype" w:hAnsi="Palatino Linotype"/>
          <w:i/>
          <w:sz w:val="22"/>
          <w:szCs w:val="22"/>
        </w:rPr>
        <w:t>…</w:t>
      </w:r>
      <w:r w:rsidRPr="00AA4D94">
        <w:rPr>
          <w:rFonts w:ascii="Palatino Linotype" w:hAnsi="Palatino Linotype"/>
          <w:i/>
          <w:sz w:val="22"/>
          <w:szCs w:val="22"/>
        </w:rPr>
        <w:t>]</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szCs w:val="22"/>
          <w:u w:val="single"/>
        </w:rPr>
      </w:pPr>
      <w:r w:rsidRPr="00AA4D94">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AA4D94">
        <w:rPr>
          <w:rFonts w:ascii="Palatino Linotype" w:hAnsi="Palatino Linotype"/>
          <w:b/>
          <w:i/>
          <w:sz w:val="22"/>
          <w:szCs w:val="22"/>
          <w:u w:val="single"/>
        </w:rPr>
        <w:t>los informes mensuales</w:t>
      </w:r>
      <w:r w:rsidRPr="00AA4D94">
        <w:rPr>
          <w:rFonts w:ascii="Palatino Linotype" w:hAnsi="Palatino Linotype"/>
          <w:i/>
          <w:sz w:val="22"/>
          <w:szCs w:val="22"/>
        </w:rPr>
        <w:t xml:space="preserve"> los deberán presentar </w:t>
      </w:r>
      <w:r w:rsidRPr="00AA4D94">
        <w:rPr>
          <w:rFonts w:ascii="Palatino Linotype" w:hAnsi="Palatino Linotype"/>
          <w:b/>
          <w:i/>
          <w:sz w:val="22"/>
          <w:szCs w:val="22"/>
          <w:u w:val="single"/>
        </w:rPr>
        <w:t>dentro de los veinte días posteriores al término del mes correspondiente</w:t>
      </w:r>
      <w:r w:rsidRPr="00AA4D94">
        <w:rPr>
          <w:rFonts w:ascii="Palatino Linotype" w:hAnsi="Palatino Linotype"/>
          <w:i/>
          <w:sz w:val="22"/>
          <w:szCs w:val="22"/>
        </w:rPr>
        <w:t>.”</w:t>
      </w:r>
    </w:p>
    <w:p w:rsidR="00693312" w:rsidRPr="00AA4D94" w:rsidRDefault="00693312" w:rsidP="00693312">
      <w:pPr>
        <w:autoSpaceDE w:val="0"/>
        <w:autoSpaceDN w:val="0"/>
        <w:adjustRightInd w:val="0"/>
        <w:spacing w:before="120" w:after="120"/>
        <w:ind w:left="709" w:right="616"/>
        <w:jc w:val="both"/>
        <w:rPr>
          <w:rFonts w:ascii="Palatino Linotype" w:eastAsiaTheme="minorEastAsia" w:hAnsi="Palatino Linotype" w:cs="Arial"/>
          <w:i/>
          <w:sz w:val="22"/>
          <w:szCs w:val="22"/>
        </w:rPr>
      </w:pPr>
      <w:r w:rsidRPr="00AA4D94">
        <w:rPr>
          <w:rFonts w:ascii="Palatino Linotype" w:hAnsi="Palatino Linotype"/>
          <w:sz w:val="22"/>
          <w:szCs w:val="22"/>
        </w:rPr>
        <w:t>(Énfasis añadido)</w:t>
      </w:r>
    </w:p>
    <w:p w:rsidR="00DC18EA" w:rsidRPr="00AA4D94" w:rsidRDefault="00DC18EA" w:rsidP="00CA1743">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Por lo anterior, se aprecia que la información documental comprobatoria, deberá conservarse en los archivos de la entidad fiscalizada –Municipio-, en original y debidamente integrada en términos de </w:t>
      </w:r>
      <w:r w:rsidRPr="00AA4D94">
        <w:rPr>
          <w:rFonts w:ascii="Palatino Linotype" w:hAnsi="Palatino Linotype" w:cs="Arial"/>
        </w:rPr>
        <w:t>los</w:t>
      </w:r>
      <w:r w:rsidRPr="00AA4D94">
        <w:rPr>
          <w:rFonts w:ascii="Palatino Linotype" w:hAnsi="Palatino Linotype"/>
        </w:rPr>
        <w:t xml:space="preserve"> lineamientos de referencia, pues son susceptibles de revisión directa por el Órgano Superior de Fiscalización del Estado.</w:t>
      </w:r>
    </w:p>
    <w:p w:rsidR="00DC18EA" w:rsidRPr="00AA4D94" w:rsidRDefault="00404B4E" w:rsidP="00CA1743">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Además</w:t>
      </w:r>
      <w:r w:rsidR="00DC18EA" w:rsidRPr="00AA4D94">
        <w:rPr>
          <w:rFonts w:ascii="Palatino Linotype" w:hAnsi="Palatino Linotype"/>
        </w:rPr>
        <w:t>, en los Lineamientos para la Integración del Informe Mensual de 2013 a 2018</w:t>
      </w:r>
      <w:r w:rsidR="00DC18EA" w:rsidRPr="00AA4D94">
        <w:rPr>
          <w:rStyle w:val="Refdenotaalpie"/>
          <w:rFonts w:ascii="Palatino Linotype" w:hAnsi="Palatino Linotype"/>
        </w:rPr>
        <w:footnoteReference w:id="4"/>
      </w:r>
      <w:r w:rsidR="00DC18EA" w:rsidRPr="00AA4D94">
        <w:rPr>
          <w:rFonts w:ascii="Palatino Linotype" w:hAnsi="Palatino Linotype"/>
        </w:rPr>
        <w:t xml:space="preserve">, </w:t>
      </w:r>
      <w:r w:rsidR="00DC18EA" w:rsidRPr="00AA4D94">
        <w:rPr>
          <w:rFonts w:ascii="Palatino Linotype" w:hAnsi="Palatino Linotype" w:cs="Arial"/>
        </w:rPr>
        <w:t>se</w:t>
      </w:r>
      <w:r w:rsidR="00DC18EA" w:rsidRPr="00AA4D94">
        <w:rPr>
          <w:rFonts w:ascii="Palatino Linotype" w:hAnsi="Palatino Linotype"/>
        </w:rPr>
        <w:t xml:space="preserve"> destaca que, </w:t>
      </w:r>
      <w:r w:rsidR="00DC18EA" w:rsidRPr="00AA4D94">
        <w:rPr>
          <w:rFonts w:ascii="Palatino Linotype" w:hAnsi="Palatino Linotype" w:cs="Arial"/>
        </w:rPr>
        <w:t>dentro</w:t>
      </w:r>
      <w:r w:rsidR="00DC18EA" w:rsidRPr="00AA4D94">
        <w:rPr>
          <w:rFonts w:ascii="Palatino Linotype" w:hAnsi="Palatino Linotype"/>
        </w:rPr>
        <w:t xml:space="preserve"> de los informes mensuales, los Ayuntamientos tienen la obligación de rendir la Información referente a imágenes digitalizadas éntrelas que se encuentran las pólizas de egresos con su respectivo soporte documental, tal y como se muestra en seguida: </w:t>
      </w:r>
    </w:p>
    <w:p w:rsidR="00DC18EA" w:rsidRPr="00AA4D94" w:rsidRDefault="00DC18EA" w:rsidP="0073092D">
      <w:pPr>
        <w:spacing w:before="120" w:after="120"/>
        <w:jc w:val="center"/>
        <w:rPr>
          <w:rFonts w:ascii="Palatino Linotype" w:hAnsi="Palatino Linotype" w:cs="Arial"/>
        </w:rPr>
      </w:pPr>
      <w:r w:rsidRPr="00AA4D94">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2734DE46" wp14:editId="323FE8AA">
                <wp:simplePos x="0" y="0"/>
                <wp:positionH relativeFrom="column">
                  <wp:posOffset>1048916</wp:posOffset>
                </wp:positionH>
                <wp:positionV relativeFrom="paragraph">
                  <wp:posOffset>1358956</wp:posOffset>
                </wp:positionV>
                <wp:extent cx="1228298" cy="170597"/>
                <wp:effectExtent l="0" t="0" r="10160" b="20320"/>
                <wp:wrapNone/>
                <wp:docPr id="11" name="13 Rectángulo"/>
                <wp:cNvGraphicFramePr/>
                <a:graphic xmlns:a="http://schemas.openxmlformats.org/drawingml/2006/main">
                  <a:graphicData uri="http://schemas.microsoft.com/office/word/2010/wordprocessingShape">
                    <wps:wsp>
                      <wps:cNvSpPr/>
                      <wps:spPr>
                        <a:xfrm>
                          <a:off x="0" y="0"/>
                          <a:ext cx="1228298" cy="17059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244D" id="13 Rectángulo" o:spid="_x0000_s1026" style="position:absolute;margin-left:82.6pt;margin-top:107pt;width:96.7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" filled="f" strokecolor="red" strokeweight="1.5pt"/>
            </w:pict>
          </mc:Fallback>
        </mc:AlternateContent>
      </w:r>
      <w:r w:rsidRPr="00AA4D94">
        <w:rPr>
          <w:rFonts w:ascii="Palatino Linotype" w:hAnsi="Palatino Linotype" w:cs="Arial"/>
          <w:noProof/>
          <w:lang w:eastAsia="es-MX"/>
        </w:rPr>
        <w:drawing>
          <wp:inline distT="0" distB="0" distL="0" distR="0">
            <wp:extent cx="3927418" cy="1678674"/>
            <wp:effectExtent l="57150" t="57150" r="111760" b="1123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286" t="65461" r="22248" b="14687"/>
                    <a:stretch/>
                  </pic:blipFill>
                  <pic:spPr bwMode="auto">
                    <a:xfrm>
                      <a:off x="0" y="0"/>
                      <a:ext cx="3938566" cy="1683439"/>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C18EA" w:rsidRPr="00AA4D94" w:rsidRDefault="00CA1743" w:rsidP="0073092D">
      <w:pPr>
        <w:tabs>
          <w:tab w:val="left" w:pos="426"/>
          <w:tab w:val="left" w:pos="8222"/>
        </w:tabs>
        <w:spacing w:before="120" w:after="120"/>
        <w:ind w:right="51"/>
        <w:jc w:val="center"/>
        <w:rPr>
          <w:rFonts w:ascii="Palatino Linotype" w:hAnsi="Palatino Linotype" w:cs="Arial"/>
        </w:rPr>
      </w:pPr>
      <w:r w:rsidRPr="00AA4D94">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18E01D56" wp14:editId="68D2343F">
                <wp:simplePos x="0" y="0"/>
                <wp:positionH relativeFrom="column">
                  <wp:posOffset>993775</wp:posOffset>
                </wp:positionH>
                <wp:positionV relativeFrom="paragraph">
                  <wp:posOffset>887095</wp:posOffset>
                </wp:positionV>
                <wp:extent cx="1828800" cy="211541"/>
                <wp:effectExtent l="0" t="0" r="19050" b="17145"/>
                <wp:wrapNone/>
                <wp:docPr id="4" name="13 Rectángulo"/>
                <wp:cNvGraphicFramePr/>
                <a:graphic xmlns:a="http://schemas.openxmlformats.org/drawingml/2006/main">
                  <a:graphicData uri="http://schemas.microsoft.com/office/word/2010/wordprocessingShape">
                    <wps:wsp>
                      <wps:cNvSpPr/>
                      <wps:spPr>
                        <a:xfrm>
                          <a:off x="0" y="0"/>
                          <a:ext cx="1828800" cy="2115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2449B" id="13 Rectángulo" o:spid="_x0000_s1026" style="position:absolute;margin-left:78.25pt;margin-top:69.85pt;width:2in;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" filled="f" strokecolor="red" strokeweight="1.5pt"/>
            </w:pict>
          </mc:Fallback>
        </mc:AlternateContent>
      </w:r>
      <w:r w:rsidRPr="00AA4D94">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18E01D56" wp14:editId="68D2343F">
                <wp:simplePos x="0" y="0"/>
                <wp:positionH relativeFrom="column">
                  <wp:posOffset>1724480</wp:posOffset>
                </wp:positionH>
                <wp:positionV relativeFrom="paragraph">
                  <wp:posOffset>341905</wp:posOffset>
                </wp:positionV>
                <wp:extent cx="388961" cy="129654"/>
                <wp:effectExtent l="0" t="0" r="11430" b="22860"/>
                <wp:wrapNone/>
                <wp:docPr id="2" name="13 Rectángulo"/>
                <wp:cNvGraphicFramePr/>
                <a:graphic xmlns:a="http://schemas.openxmlformats.org/drawingml/2006/main">
                  <a:graphicData uri="http://schemas.microsoft.com/office/word/2010/wordprocessingShape">
                    <wps:wsp>
                      <wps:cNvSpPr/>
                      <wps:spPr>
                        <a:xfrm>
                          <a:off x="0" y="0"/>
                          <a:ext cx="388961" cy="1296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EED63" id="13 Rectángulo" o:spid="_x0000_s1026" style="position:absolute;margin-left:135.8pt;margin-top:26.9pt;width:30.6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" filled="f" strokecolor="red" strokeweight="1.5pt"/>
            </w:pict>
          </mc:Fallback>
        </mc:AlternateContent>
      </w:r>
      <w:r w:rsidR="00DC18EA" w:rsidRPr="00AA4D94">
        <w:rPr>
          <w:rFonts w:ascii="Palatino Linotype" w:hAnsi="Palatino Linotype"/>
          <w:noProof/>
          <w:lang w:eastAsia="es-MX"/>
        </w:rPr>
        <w:drawing>
          <wp:inline distT="0" distB="0" distL="0" distR="0" wp14:anchorId="46017D36" wp14:editId="422D6A7E">
            <wp:extent cx="4886325" cy="1670555"/>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93" t="27248" r="23816" b="40794"/>
                    <a:stretch/>
                  </pic:blipFill>
                  <pic:spPr bwMode="auto">
                    <a:xfrm>
                      <a:off x="0" y="0"/>
                      <a:ext cx="4955855" cy="1694326"/>
                    </a:xfrm>
                    <a:prstGeom prst="rect">
                      <a:avLst/>
                    </a:prstGeom>
                    <a:ln>
                      <a:noFill/>
                    </a:ln>
                    <a:extLst>
                      <a:ext uri="{53640926-AAD7-44D8-BBD7-CCE9431645EC}">
                        <a14:shadowObscured xmlns:a14="http://schemas.microsoft.com/office/drawing/2010/main"/>
                      </a:ext>
                    </a:extLst>
                  </pic:spPr>
                </pic:pic>
              </a:graphicData>
            </a:graphic>
          </wp:inline>
        </w:drawing>
      </w:r>
    </w:p>
    <w:p w:rsidR="00DC18EA" w:rsidRPr="00AA4D94" w:rsidRDefault="00DC18EA" w:rsidP="0073092D">
      <w:pPr>
        <w:widowControl w:val="0"/>
        <w:autoSpaceDE w:val="0"/>
        <w:autoSpaceDN w:val="0"/>
        <w:adjustRightInd w:val="0"/>
        <w:spacing w:after="120"/>
        <w:ind w:right="-142"/>
        <w:jc w:val="center"/>
        <w:rPr>
          <w:rFonts w:ascii="Palatino Linotype" w:hAnsi="Palatino Linotype"/>
          <w:color w:val="000000"/>
        </w:rPr>
      </w:pPr>
      <w:r w:rsidRPr="00AA4D94">
        <w:rPr>
          <w:rFonts w:ascii="Palatino Linotype" w:hAnsi="Palatino Linotype"/>
          <w:noProof/>
          <w:lang w:eastAsia="es-MX"/>
        </w:rPr>
        <w:drawing>
          <wp:inline distT="0" distB="0" distL="0" distR="0" wp14:anchorId="635B3080" wp14:editId="3C607857">
            <wp:extent cx="4359446" cy="1543508"/>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42" t="12327" r="36576" b="58794"/>
                    <a:stretch/>
                  </pic:blipFill>
                  <pic:spPr bwMode="auto">
                    <a:xfrm>
                      <a:off x="0" y="0"/>
                      <a:ext cx="4478286" cy="1585584"/>
                    </a:xfrm>
                    <a:prstGeom prst="rect">
                      <a:avLst/>
                    </a:prstGeom>
                    <a:ln>
                      <a:noFill/>
                    </a:ln>
                    <a:extLst>
                      <a:ext uri="{53640926-AAD7-44D8-BBD7-CCE9431645EC}">
                        <a14:shadowObscured xmlns:a14="http://schemas.microsoft.com/office/drawing/2010/main"/>
                      </a:ext>
                    </a:extLst>
                  </pic:spPr>
                </pic:pic>
              </a:graphicData>
            </a:graphic>
          </wp:inline>
        </w:drawing>
      </w:r>
    </w:p>
    <w:p w:rsidR="00DC18EA" w:rsidRPr="00AA4D94" w:rsidRDefault="00DC18EA" w:rsidP="00CA1743">
      <w:pPr>
        <w:widowControl w:val="0"/>
        <w:autoSpaceDE w:val="0"/>
        <w:autoSpaceDN w:val="0"/>
        <w:adjustRightInd w:val="0"/>
        <w:ind w:right="-142"/>
        <w:jc w:val="center"/>
        <w:rPr>
          <w:rFonts w:ascii="Palatino Linotype" w:hAnsi="Palatino Linotype"/>
          <w:color w:val="000000"/>
        </w:rPr>
      </w:pPr>
      <w:r w:rsidRPr="00AA4D94">
        <w:rPr>
          <w:rFonts w:ascii="Palatino Linotype" w:hAnsi="Palatino Linotype"/>
          <w:noProof/>
          <w:lang w:eastAsia="es-MX"/>
        </w:rPr>
        <w:drawing>
          <wp:inline distT="0" distB="0" distL="0" distR="0" wp14:anchorId="5BF57347" wp14:editId="7254442E">
            <wp:extent cx="4418380" cy="2362059"/>
            <wp:effectExtent l="0" t="0" r="127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87" t="22708" r="35397" b="32515"/>
                    <a:stretch/>
                  </pic:blipFill>
                  <pic:spPr bwMode="auto">
                    <a:xfrm>
                      <a:off x="0" y="0"/>
                      <a:ext cx="4566941" cy="2441480"/>
                    </a:xfrm>
                    <a:prstGeom prst="rect">
                      <a:avLst/>
                    </a:prstGeom>
                    <a:ln>
                      <a:noFill/>
                    </a:ln>
                    <a:extLst>
                      <a:ext uri="{53640926-AAD7-44D8-BBD7-CCE9431645EC}">
                        <a14:shadowObscured xmlns:a14="http://schemas.microsoft.com/office/drawing/2010/main"/>
                      </a:ext>
                    </a:extLst>
                  </pic:spPr>
                </pic:pic>
              </a:graphicData>
            </a:graphic>
          </wp:inline>
        </w:drawing>
      </w:r>
    </w:p>
    <w:p w:rsidR="00DC18EA" w:rsidRPr="00AA4D94" w:rsidRDefault="00DC18EA" w:rsidP="00CA1743">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A4D94">
        <w:rPr>
          <w:rFonts w:ascii="Palatino Linotype" w:hAnsi="Palatino Linotype" w:cs="Arial"/>
        </w:rPr>
        <w:lastRenderedPageBreak/>
        <w:t xml:space="preserve">Tal y como señalaron los citados lineamientos, la documentación anexa se encuentra regulada por los Lineamientos de Control Financiero y Administrativo para las Entidades Fiscalizables Municipales del Estado de México, los cuales tienen como objetivo el establecer las </w:t>
      </w:r>
      <w:r w:rsidRPr="00AA4D94">
        <w:rPr>
          <w:rFonts w:ascii="Palatino Linotype" w:hAnsi="Palatino Linotype"/>
        </w:rPr>
        <w:t>normas</w:t>
      </w:r>
      <w:r w:rsidRPr="00AA4D94">
        <w:rPr>
          <w:rFonts w:ascii="Palatino Linotype" w:hAnsi="Palatino Linotype" w:cs="Arial"/>
        </w:rPr>
        <w:t xml:space="preserve"> en materia de control financiero y administrativo en la obtención, administración y aplicación de los recursos públicos para las entidades fiscalizables municipales.</w:t>
      </w:r>
    </w:p>
    <w:p w:rsidR="00DC18EA" w:rsidRPr="00AA4D94" w:rsidRDefault="00DC18EA" w:rsidP="0013002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A4D94">
        <w:rPr>
          <w:rFonts w:ascii="Palatino Linotype" w:hAnsi="Palatino Linotype" w:cs="Arial"/>
        </w:rPr>
        <w:t xml:space="preserve">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w:t>
      </w:r>
      <w:r w:rsidRPr="00AA4D94">
        <w:rPr>
          <w:rFonts w:ascii="Palatino Linotype" w:hAnsi="Palatino Linotype"/>
        </w:rPr>
        <w:t>un</w:t>
      </w:r>
      <w:r w:rsidRPr="00AA4D94">
        <w:rPr>
          <w:rFonts w:ascii="Palatino Linotype" w:hAnsi="Palatino Linotype" w:cs="Arial"/>
        </w:rPr>
        <w:t xml:space="preserve">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además, deberá integrar a la póliza de egresos, fotocopia del cheque original, para su debido cotejo.</w:t>
      </w:r>
    </w:p>
    <w:p w:rsidR="00DC18EA" w:rsidRPr="00AA4D94" w:rsidRDefault="00DC18EA" w:rsidP="0013002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A4D94">
        <w:rPr>
          <w:rFonts w:ascii="Palatino Linotype" w:hAnsi="Palatino Linotype" w:cs="Arial"/>
        </w:rPr>
        <w:t xml:space="preserve">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w:t>
      </w:r>
      <w:r w:rsidRPr="00AA4D94">
        <w:rPr>
          <w:rFonts w:ascii="Palatino Linotype" w:hAnsi="Palatino Linotype"/>
        </w:rPr>
        <w:t>para</w:t>
      </w:r>
      <w:r w:rsidRPr="00AA4D94">
        <w:rPr>
          <w:rFonts w:ascii="Palatino Linotype" w:hAnsi="Palatino Linotype" w:cs="Arial"/>
        </w:rPr>
        <w:t xml:space="preserve"> mantener las cuentas con los saldos reales e integrados con base en lo dispuesto por el Manual Único de Contabilidad </w:t>
      </w:r>
      <w:r w:rsidRPr="00AA4D94">
        <w:rPr>
          <w:rFonts w:ascii="Palatino Linotype" w:hAnsi="Palatino Linotype" w:cs="Arial"/>
        </w:rPr>
        <w:lastRenderedPageBreak/>
        <w:t>Gubernamental para las Dependencias y Entidades Públicas del Gobierno y Municipios del Estado de México.</w:t>
      </w:r>
    </w:p>
    <w:p w:rsidR="00DC18EA" w:rsidRPr="00AA4D94" w:rsidRDefault="00DC18EA" w:rsidP="0013002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A4D94">
        <w:rPr>
          <w:rFonts w:ascii="Palatino Linotype" w:hAnsi="Palatino Linotype" w:cs="Arial"/>
        </w:rPr>
        <w:t xml:space="preserve">Finalmente, el </w:t>
      </w:r>
      <w:r w:rsidR="00D84227" w:rsidRPr="00AA4D94">
        <w:rPr>
          <w:rFonts w:ascii="Palatino Linotype" w:hAnsi="Palatino Linotype" w:cs="Arial"/>
        </w:rPr>
        <w:t xml:space="preserve">artículo 344 </w:t>
      </w:r>
      <w:r w:rsidRPr="00AA4D94">
        <w:rPr>
          <w:rFonts w:ascii="Palatino Linotype" w:hAnsi="Palatino Linotype" w:cs="Arial"/>
        </w:rPr>
        <w:t xml:space="preserve">Código Financiero del Estado de México y Municipios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w:t>
      </w:r>
      <w:r w:rsidRPr="00AA4D94">
        <w:rPr>
          <w:rFonts w:ascii="Palatino Linotype" w:hAnsi="Palatino Linotype"/>
        </w:rPr>
        <w:t>de</w:t>
      </w:r>
      <w:r w:rsidRPr="00AA4D94">
        <w:rPr>
          <w:rFonts w:ascii="Palatino Linotype" w:hAnsi="Palatino Linotype" w:cs="Arial"/>
        </w:rPr>
        <w:t xml:space="preserve"> los municipios se hará por la Tesorería.</w:t>
      </w:r>
    </w:p>
    <w:p w:rsidR="00DC18EA" w:rsidRPr="00AA4D94" w:rsidRDefault="00DC18EA" w:rsidP="0013002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A4D94">
        <w:rPr>
          <w:rFonts w:ascii="Palatino Linotype" w:hAnsi="Palatino Linotype" w:cs="Arial"/>
          <w:lang w:eastAsia="es-MX"/>
        </w:rPr>
        <w:t xml:space="preserve">Derivado de lo anterior, se considera que existe fuente obligacional por parte del Sujeto Obligado, para </w:t>
      </w:r>
      <w:r w:rsidRPr="00AA4D94">
        <w:rPr>
          <w:rFonts w:ascii="Palatino Linotype" w:hAnsi="Palatino Linotype" w:cs="Arial"/>
        </w:rPr>
        <w:t>generar</w:t>
      </w:r>
      <w:r w:rsidRPr="00AA4D94">
        <w:rPr>
          <w:rFonts w:ascii="Palatino Linotype" w:hAnsi="Palatino Linotype" w:cs="Arial"/>
          <w:lang w:eastAsia="es-MX"/>
        </w:rPr>
        <w:t xml:space="preserve">, poseer y administrar la información solicitada, de conformidad con el artículo </w:t>
      </w:r>
      <w:r w:rsidRPr="00AA4D94">
        <w:rPr>
          <w:rFonts w:ascii="Palatino Linotype" w:hAnsi="Palatino Linotype" w:cs="Arial"/>
        </w:rPr>
        <w:t>18</w:t>
      </w:r>
      <w:r w:rsidRPr="00AA4D94">
        <w:rPr>
          <w:rFonts w:ascii="Palatino Linotype" w:hAnsi="Palatino Linotype" w:cs="Arial"/>
          <w:lang w:eastAsia="es-MX"/>
        </w:rPr>
        <w:t xml:space="preserve"> de la Ley de Transparencia y Acceso a la Información Pública del Estado de México y Municipios, que a la letra dice: </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w:t>
      </w:r>
      <w:r w:rsidRPr="00AA4D94">
        <w:rPr>
          <w:rFonts w:ascii="Palatino Linotype" w:hAnsi="Palatino Linotype"/>
          <w:b/>
          <w:i/>
          <w:sz w:val="22"/>
        </w:rPr>
        <w:t>Artículo 18.</w:t>
      </w:r>
      <w:r w:rsidRPr="00AA4D94">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w:t>
      </w:r>
      <w:r w:rsidR="00C2425B" w:rsidRPr="00AA4D94">
        <w:rPr>
          <w:rFonts w:ascii="Palatino Linotype" w:hAnsi="Palatino Linotype"/>
          <w:i/>
          <w:sz w:val="22"/>
        </w:rPr>
        <w:t>.</w:t>
      </w:r>
      <w:r w:rsidRPr="00AA4D94">
        <w:rPr>
          <w:rFonts w:ascii="Palatino Linotype" w:hAnsi="Palatino Linotype"/>
          <w:i/>
          <w:sz w:val="22"/>
        </w:rPr>
        <w:t>”</w:t>
      </w:r>
    </w:p>
    <w:p w:rsidR="00DC18EA" w:rsidRPr="00AA4D94" w:rsidRDefault="00DC18EA" w:rsidP="00DC18EA">
      <w:pPr>
        <w:spacing w:before="360" w:after="240" w:line="360" w:lineRule="auto"/>
        <w:jc w:val="both"/>
        <w:rPr>
          <w:rFonts w:ascii="Palatino Linotype" w:hAnsi="Palatino Linotype" w:cs="Arial"/>
          <w:lang w:eastAsia="es-MX"/>
        </w:rPr>
      </w:pPr>
      <w:r w:rsidRPr="00AA4D94">
        <w:rPr>
          <w:rFonts w:ascii="Palatino Linotype" w:hAnsi="Palatino Linotype" w:cs="Arial"/>
          <w:lang w:eastAsia="es-MX"/>
        </w:rPr>
        <w:t xml:space="preserve">Aunado a lo anterior, de conformidad con las obligaciones de transparencia común señaladas en el artículo 92, fracciones XXV y XXXV, de la Ley de Transparencia y </w:t>
      </w:r>
      <w:r w:rsidRPr="00AA4D94">
        <w:rPr>
          <w:rFonts w:ascii="Palatino Linotype" w:hAnsi="Palatino Linotype" w:cs="Arial"/>
          <w:lang w:eastAsia="es-MX"/>
        </w:rPr>
        <w:lastRenderedPageBreak/>
        <w:t xml:space="preserve">Acceso a la Información Pública del Estado de México y Municipios, que a la letra señala: </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w:t>
      </w:r>
      <w:r w:rsidRPr="00AA4D94">
        <w:rPr>
          <w:rFonts w:ascii="Palatino Linotype" w:hAnsi="Palatino Linotype"/>
          <w:b/>
          <w:i/>
          <w:sz w:val="22"/>
          <w:u w:val="single"/>
        </w:rPr>
        <w:t xml:space="preserve">Artículo 92. Los sujetos obligados deberán poner a disposición del público de manera permanente y actualizada </w:t>
      </w:r>
      <w:r w:rsidRPr="00AA4D94">
        <w:rPr>
          <w:rFonts w:ascii="Palatino Linotype" w:hAnsi="Palatino Linotype"/>
          <w:i/>
          <w:sz w:val="22"/>
        </w:rPr>
        <w:t xml:space="preserve">de forma sencilla, precisa y entendible, en los respectivos medios electrónicos, de acuerdo con sus facultades, atribuciones, funciones u objeto social, según corresponda, </w:t>
      </w:r>
      <w:r w:rsidRPr="00AA4D94">
        <w:rPr>
          <w:rFonts w:ascii="Palatino Linotype" w:hAnsi="Palatino Linotype"/>
          <w:b/>
          <w:i/>
          <w:sz w:val="22"/>
          <w:u w:val="single"/>
        </w:rPr>
        <w:t>la información</w:t>
      </w:r>
      <w:r w:rsidRPr="00AA4D94">
        <w:rPr>
          <w:rFonts w:ascii="Palatino Linotype" w:hAnsi="Palatino Linotype"/>
          <w:i/>
          <w:sz w:val="22"/>
        </w:rPr>
        <w:t xml:space="preserve">, por lo menos, de los temas, documentos y políticas </w:t>
      </w:r>
      <w:r w:rsidRPr="00AA4D94">
        <w:rPr>
          <w:rFonts w:ascii="Palatino Linotype" w:hAnsi="Palatino Linotype"/>
          <w:b/>
          <w:i/>
          <w:sz w:val="22"/>
          <w:u w:val="single"/>
        </w:rPr>
        <w:t>que a continuación se señalan</w:t>
      </w:r>
      <w:r w:rsidRPr="00AA4D94">
        <w:rPr>
          <w:rFonts w:ascii="Palatino Linotype" w:hAnsi="Palatino Linotype"/>
          <w:i/>
          <w:sz w:val="22"/>
        </w:rPr>
        <w:t>:</w:t>
      </w:r>
    </w:p>
    <w:p w:rsidR="00DC18EA" w:rsidRPr="00AA4D94" w:rsidRDefault="00FB10E1" w:rsidP="00AD492F">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w:t>
      </w:r>
      <w:r w:rsidR="00DC18EA" w:rsidRPr="00AA4D94">
        <w:rPr>
          <w:rFonts w:ascii="Palatino Linotype" w:hAnsi="Palatino Linotype"/>
          <w:i/>
          <w:sz w:val="22"/>
        </w:rPr>
        <w:t>…</w:t>
      </w:r>
      <w:r w:rsidRPr="00AA4D94">
        <w:rPr>
          <w:rFonts w:ascii="Palatino Linotype" w:hAnsi="Palatino Linotype"/>
          <w:i/>
          <w:sz w:val="22"/>
        </w:rPr>
        <w:t>]</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b/>
          <w:i/>
          <w:sz w:val="22"/>
        </w:rPr>
        <w:t>XXV.</w:t>
      </w:r>
      <w:r w:rsidRPr="00AA4D94">
        <w:rPr>
          <w:rFonts w:ascii="Palatino Linotype" w:hAnsi="Palatino Linotype"/>
          <w:i/>
          <w:sz w:val="22"/>
        </w:rPr>
        <w:t xml:space="preserve"> La </w:t>
      </w:r>
      <w:r w:rsidRPr="00AA4D94">
        <w:rPr>
          <w:rFonts w:ascii="Palatino Linotype" w:hAnsi="Palatino Linotype"/>
          <w:b/>
          <w:i/>
          <w:sz w:val="22"/>
          <w:u w:val="single"/>
        </w:rPr>
        <w:t>información financiera sobre el presupuesto asignado</w:t>
      </w:r>
      <w:r w:rsidRPr="00AA4D94">
        <w:rPr>
          <w:rFonts w:ascii="Palatino Linotype" w:hAnsi="Palatino Linotype"/>
          <w:i/>
          <w:sz w:val="22"/>
        </w:rPr>
        <w:t>, así como los informes del ejercicio trimestral del gasto, en términos de la Ley General de Contabilidad Gubernamental y demás disposiciones jurídicas aplicables;</w:t>
      </w:r>
    </w:p>
    <w:p w:rsidR="00DC18EA" w:rsidRPr="00AA4D94" w:rsidRDefault="00FB10E1" w:rsidP="00AD492F">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w:t>
      </w:r>
      <w:r w:rsidR="00DC18EA" w:rsidRPr="00AA4D94">
        <w:rPr>
          <w:rFonts w:ascii="Palatino Linotype" w:hAnsi="Palatino Linotype"/>
          <w:i/>
          <w:sz w:val="22"/>
        </w:rPr>
        <w:t>…</w:t>
      </w:r>
      <w:r w:rsidRPr="00AA4D94">
        <w:rPr>
          <w:rFonts w:ascii="Palatino Linotype" w:hAnsi="Palatino Linotype"/>
          <w:i/>
          <w:sz w:val="22"/>
        </w:rPr>
        <w:t>]</w:t>
      </w:r>
    </w:p>
    <w:p w:rsidR="00DC18EA" w:rsidRPr="00AA4D94" w:rsidRDefault="00DC18EA" w:rsidP="00AD492F">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b/>
          <w:i/>
          <w:sz w:val="22"/>
        </w:rPr>
        <w:t>XXXV.</w:t>
      </w:r>
      <w:r w:rsidRPr="00AA4D94">
        <w:rPr>
          <w:rFonts w:ascii="Palatino Linotype" w:hAnsi="Palatino Linotype"/>
          <w:i/>
          <w:sz w:val="22"/>
        </w:rPr>
        <w:t xml:space="preserve"> </w:t>
      </w:r>
      <w:r w:rsidRPr="00AA4D94">
        <w:rPr>
          <w:rFonts w:ascii="Palatino Linotype" w:hAnsi="Palatino Linotype"/>
          <w:b/>
          <w:i/>
          <w:sz w:val="22"/>
          <w:u w:val="single"/>
        </w:rPr>
        <w:t>Informes de avances programáticos o presupuestales</w:t>
      </w:r>
      <w:r w:rsidRPr="00AA4D94">
        <w:rPr>
          <w:rFonts w:ascii="Palatino Linotype" w:hAnsi="Palatino Linotype"/>
          <w:i/>
          <w:sz w:val="22"/>
        </w:rPr>
        <w:t>, balances generales y estado financiero;”</w:t>
      </w:r>
    </w:p>
    <w:p w:rsidR="00DC18EA" w:rsidRPr="00AA4D94" w:rsidRDefault="00DC18EA" w:rsidP="00FB10E1">
      <w:pPr>
        <w:autoSpaceDE w:val="0"/>
        <w:autoSpaceDN w:val="0"/>
        <w:adjustRightInd w:val="0"/>
        <w:spacing w:before="120" w:after="120"/>
        <w:ind w:left="709" w:right="616"/>
        <w:jc w:val="both"/>
        <w:rPr>
          <w:rFonts w:ascii="Palatino Linotype" w:hAnsi="Palatino Linotype"/>
          <w:sz w:val="22"/>
        </w:rPr>
      </w:pPr>
      <w:r w:rsidRPr="00AA4D94">
        <w:rPr>
          <w:rFonts w:ascii="Palatino Linotype" w:hAnsi="Palatino Linotype"/>
          <w:sz w:val="22"/>
        </w:rPr>
        <w:t>(Énfasis añadido)</w:t>
      </w:r>
    </w:p>
    <w:p w:rsidR="00DC18EA" w:rsidRPr="00AA4D94" w:rsidRDefault="00DC18EA" w:rsidP="00DC18EA">
      <w:pPr>
        <w:spacing w:before="360" w:after="240" w:line="360" w:lineRule="auto"/>
        <w:jc w:val="both"/>
        <w:rPr>
          <w:rFonts w:ascii="Palatino Linotype" w:hAnsi="Palatino Linotype" w:cs="Arial"/>
        </w:rPr>
      </w:pPr>
      <w:r w:rsidRPr="00AA4D94">
        <w:rPr>
          <w:rFonts w:ascii="Palatino Linotype" w:hAnsi="Palatino Linotype" w:cs="Arial"/>
        </w:rPr>
        <w:t xml:space="preserve">Por lo tanto, existe una clara atribución del </w:t>
      </w:r>
      <w:r w:rsidR="00750E18" w:rsidRPr="00AA4D94">
        <w:rPr>
          <w:rFonts w:ascii="Palatino Linotype" w:hAnsi="Palatino Linotype" w:cs="Arial"/>
          <w:b/>
          <w:bCs/>
          <w:color w:val="000000"/>
        </w:rPr>
        <w:t xml:space="preserve">SUJETO OBLIGADO </w:t>
      </w:r>
      <w:r w:rsidRPr="00AA4D94">
        <w:rPr>
          <w:rFonts w:ascii="Palatino Linotype" w:hAnsi="Palatino Linotype" w:cs="Arial"/>
        </w:rPr>
        <w:t>de remitir la información mensual al ente fiscalizador y</w:t>
      </w:r>
      <w:r w:rsidR="00FB10E1" w:rsidRPr="00AA4D94">
        <w:rPr>
          <w:rFonts w:ascii="Palatino Linotype" w:hAnsi="Palatino Linotype" w:cs="Arial"/>
        </w:rPr>
        <w:t>,</w:t>
      </w:r>
      <w:r w:rsidRPr="00AA4D94">
        <w:rPr>
          <w:rFonts w:ascii="Palatino Linotype" w:hAnsi="Palatino Linotype" w:cs="Arial"/>
        </w:rPr>
        <w:t xml:space="preserve"> por ende</w:t>
      </w:r>
      <w:r w:rsidR="00FB10E1" w:rsidRPr="00AA4D94">
        <w:rPr>
          <w:rFonts w:ascii="Palatino Linotype" w:hAnsi="Palatino Linotype" w:cs="Arial"/>
        </w:rPr>
        <w:t>,</w:t>
      </w:r>
      <w:r w:rsidRPr="00AA4D94">
        <w:rPr>
          <w:rFonts w:ascii="Palatino Linotype" w:hAnsi="Palatino Linotype" w:cs="Arial"/>
        </w:rPr>
        <w:t xml:space="preserve"> hacer entrega del soporte documental de donde se puedan desprender los </w:t>
      </w:r>
      <w:r w:rsidRPr="00AA4D94">
        <w:rPr>
          <w:rFonts w:ascii="Palatino Linotype" w:hAnsi="Palatino Linotype" w:cs="Arial"/>
          <w:lang w:eastAsia="es-MX"/>
        </w:rPr>
        <w:t>requerimientos</w:t>
      </w:r>
      <w:r w:rsidRPr="00AA4D94">
        <w:rPr>
          <w:rFonts w:ascii="Palatino Linotype" w:hAnsi="Palatino Linotype" w:cs="Arial"/>
        </w:rPr>
        <w:t xml:space="preserve"> del particular en torno a las partidas presupuestales y montos erogados para el mantenimiento del sistema de alumbrado público y para el pago de las facturas por concepto de consumo de energía eléctrica del </w:t>
      </w:r>
      <w:r w:rsidR="00FB10E1" w:rsidRPr="00AA4D94">
        <w:rPr>
          <w:rFonts w:ascii="Palatino Linotype" w:hAnsi="Palatino Linotype" w:cs="Arial"/>
        </w:rPr>
        <w:t>1</w:t>
      </w:r>
      <w:r w:rsidRPr="00AA4D94">
        <w:rPr>
          <w:rFonts w:ascii="Palatino Linotype" w:hAnsi="Palatino Linotype" w:cs="Arial"/>
        </w:rPr>
        <w:t xml:space="preserve"> de enero de </w:t>
      </w:r>
      <w:r w:rsidR="00FB10E1" w:rsidRPr="00AA4D94">
        <w:rPr>
          <w:rFonts w:ascii="Palatino Linotype" w:hAnsi="Palatino Linotype" w:cs="Arial"/>
        </w:rPr>
        <w:t>2013</w:t>
      </w:r>
      <w:r w:rsidRPr="00AA4D94">
        <w:rPr>
          <w:rFonts w:ascii="Palatino Linotype" w:hAnsi="Palatino Linotype" w:cs="Arial"/>
        </w:rPr>
        <w:t xml:space="preserve"> al </w:t>
      </w:r>
      <w:r w:rsidR="00FB10E1" w:rsidRPr="00AA4D94">
        <w:rPr>
          <w:rFonts w:ascii="Palatino Linotype" w:hAnsi="Palatino Linotype" w:cs="Arial"/>
        </w:rPr>
        <w:t>13</w:t>
      </w:r>
      <w:r w:rsidRPr="00AA4D94">
        <w:rPr>
          <w:rFonts w:ascii="Palatino Linotype" w:hAnsi="Palatino Linotype" w:cs="Arial"/>
        </w:rPr>
        <w:t xml:space="preserve"> de noviembre de </w:t>
      </w:r>
      <w:r w:rsidR="00FB10E1" w:rsidRPr="00AA4D94">
        <w:rPr>
          <w:rFonts w:ascii="Palatino Linotype" w:hAnsi="Palatino Linotype" w:cs="Arial"/>
        </w:rPr>
        <w:t>2018</w:t>
      </w:r>
      <w:r w:rsidRPr="00AA4D94">
        <w:rPr>
          <w:rFonts w:ascii="Palatino Linotype" w:hAnsi="Palatino Linotype" w:cs="Arial"/>
        </w:rPr>
        <w:t>.</w:t>
      </w:r>
    </w:p>
    <w:p w:rsidR="00DC18EA" w:rsidRPr="00AA4D94" w:rsidRDefault="001D176A" w:rsidP="00046CFC">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t>Adeudo por concepto de energía eléctrica</w:t>
      </w:r>
    </w:p>
    <w:p w:rsidR="001D0412" w:rsidRPr="00AA4D94" w:rsidRDefault="001D0412" w:rsidP="001D0412">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 xml:space="preserve">Bajo </w:t>
      </w:r>
      <w:r w:rsidR="00DC18EA" w:rsidRPr="00AA4D94">
        <w:rPr>
          <w:rFonts w:ascii="Palatino Linotype" w:hAnsi="Palatino Linotype"/>
        </w:rPr>
        <w:t>este</w:t>
      </w:r>
      <w:r w:rsidRPr="00AA4D94">
        <w:rPr>
          <w:rFonts w:ascii="Palatino Linotype" w:hAnsi="Palatino Linotype"/>
        </w:rPr>
        <w:t xml:space="preserve"> rubro</w:t>
      </w:r>
      <w:r w:rsidR="00DC18EA" w:rsidRPr="00AA4D94">
        <w:rPr>
          <w:rFonts w:ascii="Palatino Linotype" w:hAnsi="Palatino Linotype"/>
        </w:rPr>
        <w:t xml:space="preserve"> </w:t>
      </w:r>
      <w:r w:rsidRPr="00AA4D94">
        <w:rPr>
          <w:rFonts w:ascii="Palatino Linotype" w:hAnsi="Palatino Linotype"/>
        </w:rPr>
        <w:t>podemos ubicar el requerimiento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 xml:space="preserve">, descrito en el </w:t>
      </w:r>
      <w:r w:rsidRPr="00AA4D94">
        <w:rPr>
          <w:rFonts w:ascii="Palatino Linotype" w:hAnsi="Palatino Linotype"/>
          <w:b/>
        </w:rPr>
        <w:t>Apartado I, numeral 2</w:t>
      </w:r>
      <w:r w:rsidRPr="00AA4D94">
        <w:rPr>
          <w:rFonts w:ascii="Palatino Linotype" w:hAnsi="Palatino Linotype"/>
        </w:rPr>
        <w:t>.</w:t>
      </w:r>
    </w:p>
    <w:p w:rsidR="00046CFC" w:rsidRPr="00AA4D94" w:rsidRDefault="00046CFC" w:rsidP="00046CFC">
      <w:pPr>
        <w:pStyle w:val="Prrafodelista"/>
        <w:widowControl w:val="0"/>
        <w:autoSpaceDE w:val="0"/>
        <w:autoSpaceDN w:val="0"/>
        <w:adjustRightInd w:val="0"/>
        <w:spacing w:before="360" w:after="240" w:line="360" w:lineRule="auto"/>
        <w:ind w:left="0"/>
        <w:jc w:val="both"/>
        <w:rPr>
          <w:rFonts w:ascii="Palatino Linotype" w:hAnsi="Palatino Linotype"/>
        </w:rPr>
      </w:pPr>
      <w:r w:rsidRPr="00AA4D94">
        <w:rPr>
          <w:rFonts w:ascii="Palatino Linotype" w:hAnsi="Palatino Linotype"/>
        </w:rPr>
        <w:t xml:space="preserve">Al respecto, como ya fue señalado, </w:t>
      </w:r>
      <w:r w:rsidR="00750E18" w:rsidRPr="00AA4D94">
        <w:rPr>
          <w:rFonts w:ascii="Palatino Linotype" w:hAnsi="Palatino Linotype"/>
          <w:b/>
        </w:rPr>
        <w:t>EL SUJETO OBLIGADO</w:t>
      </w:r>
      <w:r w:rsidRPr="00AA4D94">
        <w:rPr>
          <w:rFonts w:ascii="Palatino Linotype" w:hAnsi="Palatino Linotype"/>
        </w:rPr>
        <w:t xml:space="preserve"> es responsable de prestar el servicio de alumbrado público en vialidades, plazas, monumentos, jardines y </w:t>
      </w:r>
      <w:r w:rsidRPr="00AA4D94">
        <w:rPr>
          <w:rFonts w:ascii="Palatino Linotype" w:hAnsi="Palatino Linotype"/>
        </w:rPr>
        <w:lastRenderedPageBreak/>
        <w:t>parques públicos, en consecuencia tiene el deber de registrar los gastos erogados por dicho servicio.</w:t>
      </w:r>
    </w:p>
    <w:p w:rsidR="00046CFC" w:rsidRPr="00AA4D94" w:rsidRDefault="00046CFC" w:rsidP="00C2425B">
      <w:pPr>
        <w:pStyle w:val="Prrafodelista"/>
        <w:widowControl w:val="0"/>
        <w:autoSpaceDE w:val="0"/>
        <w:autoSpaceDN w:val="0"/>
        <w:adjustRightInd w:val="0"/>
        <w:spacing w:before="240" w:after="120" w:line="360" w:lineRule="auto"/>
        <w:ind w:left="0"/>
        <w:jc w:val="both"/>
        <w:rPr>
          <w:rFonts w:ascii="Palatino Linotype" w:hAnsi="Palatino Linotype"/>
          <w:color w:val="000000"/>
        </w:rPr>
      </w:pPr>
      <w:r w:rsidRPr="00AA4D94">
        <w:rPr>
          <w:rFonts w:ascii="Palatino Linotype" w:hAnsi="Palatino Linotype"/>
        </w:rPr>
        <w:t xml:space="preserve">Por lo que resulta, hacer alusión a grandes rasgos al Manual </w:t>
      </w:r>
      <w:r w:rsidRPr="00AA4D94">
        <w:rPr>
          <w:rFonts w:ascii="Palatino Linotype" w:hAnsi="Palatino Linotype"/>
          <w:color w:val="000000"/>
        </w:rPr>
        <w:t>Único de Contabilidad Gubernamental para las Dependencias y Entidades Públicas del Gobierno y Municipios del Estado de México, por proporcionar los elementos necesarios para que los entes públicos contabilicen sus operaciones al establecer criterios en materia de contabilidad, mediante un conjunto de conceptos homogéneos que facilitan distinguir y formar agrupaciones generales para detallar los distintos conceptos de cargo y abono por los que cada cuenta deberá ser afectada, indicando el número respectivo, su denominación, clasificación y naturaleza, así como la representatividad de su saldo, y para ello establece un lista de cuentas autorizadas, entre las que se encuentra los conceptos siguientes:</w:t>
      </w:r>
    </w:p>
    <w:p w:rsidR="00750E18" w:rsidRPr="00AA4D94" w:rsidRDefault="00750E18" w:rsidP="00C2425B">
      <w:pPr>
        <w:jc w:val="center"/>
        <w:rPr>
          <w:rFonts w:ascii="Palatino Linotype" w:hAnsi="Palatino Linotype"/>
          <w:color w:val="000000"/>
        </w:rPr>
      </w:pPr>
      <w:r w:rsidRPr="00AA4D94">
        <w:rPr>
          <w:rFonts w:ascii="Palatino Linotype" w:hAnsi="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156994</wp:posOffset>
                </wp:positionH>
                <wp:positionV relativeFrom="paragraph">
                  <wp:posOffset>1982022</wp:posOffset>
                </wp:positionV>
                <wp:extent cx="5453300" cy="724072"/>
                <wp:effectExtent l="57150" t="38100" r="71755" b="95250"/>
                <wp:wrapNone/>
                <wp:docPr id="17" name="Rectángulo 17"/>
                <wp:cNvGraphicFramePr/>
                <a:graphic xmlns:a="http://schemas.openxmlformats.org/drawingml/2006/main">
                  <a:graphicData uri="http://schemas.microsoft.com/office/word/2010/wordprocessingShape">
                    <wps:wsp>
                      <wps:cNvSpPr/>
                      <wps:spPr>
                        <a:xfrm>
                          <a:off x="0" y="0"/>
                          <a:ext cx="5453300" cy="72407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A1B3" id="Rectángulo 17" o:spid="_x0000_s1026" style="position:absolute;margin-left:12.35pt;margin-top:156.05pt;width:429.4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" filled="f" strokecolor="red" strokeweight="2.25pt">
                <v:shadow on="t" color="black" opacity="22937f" origin=",.5" offset="0,.63889mm"/>
              </v:rect>
            </w:pict>
          </mc:Fallback>
        </mc:AlternateContent>
      </w:r>
      <w:r w:rsidRPr="00AA4D94">
        <w:rPr>
          <w:rFonts w:ascii="Palatino Linotype" w:hAnsi="Palatino Linotype"/>
          <w:noProof/>
          <w:lang w:eastAsia="es-MX"/>
        </w:rPr>
        <w:drawing>
          <wp:inline distT="0" distB="0" distL="0" distR="0" wp14:anchorId="6ECD8502" wp14:editId="5D747D55">
            <wp:extent cx="5574623" cy="2955341"/>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34" t="26890" r="19544" b="14848"/>
                    <a:stretch/>
                  </pic:blipFill>
                  <pic:spPr bwMode="auto">
                    <a:xfrm>
                      <a:off x="0" y="0"/>
                      <a:ext cx="5653530" cy="2997173"/>
                    </a:xfrm>
                    <a:prstGeom prst="rect">
                      <a:avLst/>
                    </a:prstGeom>
                    <a:ln>
                      <a:noFill/>
                    </a:ln>
                    <a:extLst>
                      <a:ext uri="{53640926-AAD7-44D8-BBD7-CCE9431645EC}">
                        <a14:shadowObscured xmlns:a14="http://schemas.microsoft.com/office/drawing/2010/main"/>
                      </a:ext>
                    </a:extLst>
                  </pic:spPr>
                </pic:pic>
              </a:graphicData>
            </a:graphic>
          </wp:inline>
        </w:drawing>
      </w:r>
    </w:p>
    <w:p w:rsidR="00046CFC" w:rsidRPr="00AA4D94" w:rsidRDefault="00046CFC" w:rsidP="006F233E">
      <w:pPr>
        <w:pStyle w:val="Prrafodelista"/>
        <w:widowControl w:val="0"/>
        <w:autoSpaceDE w:val="0"/>
        <w:autoSpaceDN w:val="0"/>
        <w:adjustRightInd w:val="0"/>
        <w:spacing w:before="360" w:after="240" w:line="360" w:lineRule="auto"/>
        <w:ind w:left="0"/>
        <w:jc w:val="both"/>
        <w:rPr>
          <w:rFonts w:ascii="Palatino Linotype" w:hAnsi="Palatino Linotype" w:cs="Arial"/>
          <w:bCs/>
          <w:color w:val="000000"/>
        </w:rPr>
      </w:pPr>
      <w:r w:rsidRPr="00AA4D94">
        <w:rPr>
          <w:rFonts w:ascii="Palatino Linotype" w:hAnsi="Palatino Linotype"/>
        </w:rPr>
        <w:t xml:space="preserve">Ahora bien, en términos del artículo 93 de la </w:t>
      </w:r>
      <w:r w:rsidR="00750E18" w:rsidRPr="00AA4D94">
        <w:rPr>
          <w:rFonts w:ascii="Palatino Linotype" w:hAnsi="Palatino Linotype"/>
          <w:bCs/>
        </w:rPr>
        <w:t>L</w:t>
      </w:r>
      <w:r w:rsidR="00750E18" w:rsidRPr="00AA4D94">
        <w:rPr>
          <w:rFonts w:ascii="Palatino Linotype" w:hAnsi="Palatino Linotype"/>
        </w:rPr>
        <w:t>ey Orgánica Municipal del Estado de México</w:t>
      </w:r>
      <w:r w:rsidRPr="00AA4D94">
        <w:rPr>
          <w:rFonts w:ascii="Palatino Linotype" w:hAnsi="Palatino Linotype"/>
        </w:rPr>
        <w:t xml:space="preserve">, es la Tesorería Municipal el órgano encargado de la recaudación de los </w:t>
      </w:r>
      <w:r w:rsidRPr="00AA4D94">
        <w:rPr>
          <w:rFonts w:ascii="Palatino Linotype" w:hAnsi="Palatino Linotype"/>
        </w:rPr>
        <w:lastRenderedPageBreak/>
        <w:t xml:space="preserve">ingresos municipales y responsable de realizar las erogaciones que haga el Ayuntamiento, por tanto, le compete a éste, </w:t>
      </w:r>
      <w:r w:rsidRPr="00AA4D94">
        <w:rPr>
          <w:rFonts w:ascii="Palatino Linotype" w:hAnsi="Palatino Linotype" w:cs="Arial"/>
          <w:bCs/>
          <w:color w:val="000000"/>
        </w:rPr>
        <w:t>rendir anualmente los informes de resultados y la situación fiscal del ejercicio fiscal inmediato anterior de la cuenta pública, en cuyo contenido debe encontrarse inmersa la información económica, patrimonial, administrativa, presupuestal, programática, cualitativa y cuantitativa que muestra los resultados de la ejecución de la Ley de Ingresos y Presupuestos de Egresos.</w:t>
      </w:r>
    </w:p>
    <w:p w:rsidR="00C2425B" w:rsidRPr="00AA4D94" w:rsidRDefault="00046CFC" w:rsidP="006614E3">
      <w:pPr>
        <w:autoSpaceDE w:val="0"/>
        <w:autoSpaceDN w:val="0"/>
        <w:adjustRightInd w:val="0"/>
        <w:spacing w:before="360" w:after="240" w:line="360" w:lineRule="auto"/>
        <w:jc w:val="both"/>
        <w:rPr>
          <w:rFonts w:ascii="Palatino Linotype" w:hAnsi="Palatino Linotype" w:cs="Arial"/>
          <w:bCs/>
          <w:color w:val="000000"/>
        </w:rPr>
      </w:pPr>
      <w:r w:rsidRPr="00AA4D94">
        <w:rPr>
          <w:rFonts w:ascii="Palatino Linotype" w:hAnsi="Palatino Linotype" w:cs="Arial"/>
          <w:bCs/>
          <w:color w:val="000000"/>
        </w:rPr>
        <w:t xml:space="preserve">Dentro de esta perspectiva, los informes deben </w:t>
      </w:r>
      <w:r w:rsidRPr="00AA4D94">
        <w:rPr>
          <w:rFonts w:ascii="Palatino Linotype" w:hAnsi="Palatino Linotype" w:cs="Arial"/>
        </w:rPr>
        <w:t xml:space="preserve">rendirse al Órgano Superior de Fiscalización del Estado de México, </w:t>
      </w:r>
      <w:r w:rsidRPr="00AA4D94">
        <w:rPr>
          <w:rFonts w:ascii="Palatino Linotype" w:hAnsi="Palatino Linotype" w:cs="Arial"/>
          <w:color w:val="222222"/>
        </w:rPr>
        <w:t xml:space="preserve">para su análisis y evaluación, </w:t>
      </w:r>
      <w:r w:rsidRPr="00AA4D94">
        <w:rPr>
          <w:rFonts w:ascii="Palatino Linotype" w:hAnsi="Palatino Linotype" w:cs="Arial"/>
        </w:rPr>
        <w:t xml:space="preserve">según lo prescrito en el </w:t>
      </w:r>
      <w:r w:rsidRPr="00AA4D94">
        <w:rPr>
          <w:rFonts w:ascii="Palatino Linotype" w:eastAsia="Arial Unicode MS" w:hAnsi="Palatino Linotype" w:cs="Arial"/>
        </w:rPr>
        <w:t xml:space="preserve">artículo </w:t>
      </w:r>
      <w:r w:rsidRPr="00AA4D94">
        <w:rPr>
          <w:rFonts w:ascii="Palatino Linotype" w:hAnsi="Palatino Linotype" w:cs="Arial"/>
          <w:color w:val="222222"/>
        </w:rPr>
        <w:t>350 del Código Financiero del Estado de México y Municipios, acatando lo dispuesto en los Lineamientos para la elaboración de la Cuenta Pública Municipal</w:t>
      </w:r>
      <w:r w:rsidR="006614E3" w:rsidRPr="00AA4D94">
        <w:rPr>
          <w:rFonts w:ascii="Palatino Linotype" w:hAnsi="Palatino Linotype" w:cs="Arial"/>
          <w:color w:val="222222"/>
        </w:rPr>
        <w:t xml:space="preserve"> </w:t>
      </w:r>
      <w:r w:rsidR="006614E3" w:rsidRPr="00AA4D94">
        <w:rPr>
          <w:rFonts w:ascii="Palatino Linotype" w:hAnsi="Palatino Linotype" w:cs="Arial"/>
          <w:bCs/>
          <w:color w:val="000000"/>
        </w:rPr>
        <w:t>2018</w:t>
      </w:r>
      <w:r w:rsidRPr="00AA4D94">
        <w:rPr>
          <w:rFonts w:ascii="Palatino Linotype" w:hAnsi="Palatino Linotype" w:cs="Arial"/>
          <w:color w:val="222222"/>
        </w:rPr>
        <w:t xml:space="preserve">, que entre otras cosas regulan lo relativo a la </w:t>
      </w:r>
      <w:r w:rsidRPr="00AA4D94">
        <w:rPr>
          <w:rFonts w:ascii="Palatino Linotype" w:hAnsi="Palatino Linotype" w:cs="Arial"/>
          <w:b/>
          <w:bCs/>
          <w:color w:val="000000"/>
        </w:rPr>
        <w:t>Deuda Pública</w:t>
      </w:r>
      <w:r w:rsidRPr="00AA4D94">
        <w:rPr>
          <w:rFonts w:ascii="Palatino Linotype" w:hAnsi="Palatino Linotype" w:cs="Arial"/>
          <w:bCs/>
          <w:color w:val="000000"/>
        </w:rPr>
        <w:t xml:space="preserve">, </w:t>
      </w:r>
      <w:r w:rsidR="00C2425B" w:rsidRPr="00AA4D94">
        <w:rPr>
          <w:rFonts w:ascii="Palatino Linotype" w:hAnsi="Palatino Linotype" w:cs="Arial"/>
          <w:bCs/>
          <w:color w:val="000000"/>
        </w:rPr>
        <w:t>los cuales pueden consultarse en la liga electrónica https://www.osfem.gob.mx/04_Normatividad/</w:t>
      </w:r>
      <w:r w:rsidR="006614E3" w:rsidRPr="00AA4D94">
        <w:rPr>
          <w:rFonts w:ascii="Palatino Linotype" w:hAnsi="Palatino Linotype" w:cs="Arial"/>
          <w:bCs/>
          <w:color w:val="000000"/>
        </w:rPr>
        <w:t xml:space="preserve"> </w:t>
      </w:r>
      <w:r w:rsidR="00C2425B" w:rsidRPr="00AA4D94">
        <w:rPr>
          <w:rFonts w:ascii="Palatino Linotype" w:hAnsi="Palatino Linotype" w:cs="Arial"/>
          <w:bCs/>
          <w:color w:val="000000"/>
        </w:rPr>
        <w:t>doc/Normatividad/2019/07_LineamCtaPubMpal_2018.pdf</w:t>
      </w:r>
      <w:r w:rsidRPr="00AA4D94">
        <w:rPr>
          <w:rFonts w:ascii="Palatino Linotype" w:hAnsi="Palatino Linotype" w:cs="Arial"/>
          <w:bCs/>
          <w:color w:val="000000"/>
        </w:rPr>
        <w:t>:</w:t>
      </w:r>
      <w:r w:rsidR="00C2425B" w:rsidRPr="00AA4D94">
        <w:rPr>
          <w:rFonts w:ascii="Palatino Linotype" w:hAnsi="Palatino Linotype" w:cs="Arial"/>
          <w:bCs/>
          <w:color w:val="000000"/>
        </w:rPr>
        <w:t xml:space="preserve"> </w:t>
      </w:r>
      <w:r w:rsidR="00C2425B" w:rsidRPr="00AA4D94">
        <w:rPr>
          <w:rFonts w:ascii="Palatino Linotype" w:eastAsiaTheme="minorEastAsia"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6614E3" w:rsidRPr="00AA4D94">
        <w:rPr>
          <w:rFonts w:ascii="Palatino Linotype" w:eastAsiaTheme="minorEastAsia"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2425B" w:rsidRPr="00AA4D94" w:rsidRDefault="00C2425B" w:rsidP="00A77572">
      <w:pPr>
        <w:autoSpaceDE w:val="0"/>
        <w:autoSpaceDN w:val="0"/>
        <w:adjustRightInd w:val="0"/>
        <w:spacing w:before="360" w:after="240" w:line="360" w:lineRule="auto"/>
        <w:jc w:val="both"/>
        <w:rPr>
          <w:rFonts w:ascii="Palatino Linotype" w:hAnsi="Palatino Linotype" w:cs="Arial"/>
          <w:bCs/>
          <w:color w:val="000000"/>
        </w:rPr>
      </w:pPr>
    </w:p>
    <w:p w:rsidR="00046CFC" w:rsidRPr="00AA4D94" w:rsidRDefault="00C2425B" w:rsidP="00750E18">
      <w:pPr>
        <w:autoSpaceDE w:val="0"/>
        <w:autoSpaceDN w:val="0"/>
        <w:adjustRightInd w:val="0"/>
        <w:spacing w:before="240"/>
        <w:jc w:val="both"/>
        <w:rPr>
          <w:rFonts w:ascii="Palatino Linotype" w:hAnsi="Palatino Linotype" w:cs="Arial"/>
          <w:bCs/>
          <w:color w:val="000000"/>
        </w:rPr>
      </w:pPr>
      <w:r w:rsidRPr="00AA4D94">
        <w:rPr>
          <w:noProof/>
          <w:lang w:eastAsia="es-MX"/>
        </w:rPr>
        <w:drawing>
          <wp:inline distT="0" distB="0" distL="0" distR="0" wp14:anchorId="1D608E31" wp14:editId="5E631506">
            <wp:extent cx="5791835" cy="71494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149465"/>
                    </a:xfrm>
                    <a:prstGeom prst="rect">
                      <a:avLst/>
                    </a:prstGeom>
                  </pic:spPr>
                </pic:pic>
              </a:graphicData>
            </a:graphic>
          </wp:inline>
        </w:drawing>
      </w:r>
    </w:p>
    <w:p w:rsidR="00046CFC" w:rsidRPr="00AA4D94" w:rsidRDefault="00C2425B" w:rsidP="00A77572">
      <w:pPr>
        <w:autoSpaceDE w:val="0"/>
        <w:autoSpaceDN w:val="0"/>
        <w:adjustRightInd w:val="0"/>
        <w:jc w:val="center"/>
        <w:rPr>
          <w:rFonts w:ascii="Palatino Linotype" w:hAnsi="Palatino Linotype" w:cs="Arial"/>
          <w:bCs/>
          <w:color w:val="000000"/>
        </w:rPr>
      </w:pPr>
      <w:r w:rsidRPr="00AA4D94">
        <w:rPr>
          <w:noProof/>
          <w:lang w:eastAsia="es-MX"/>
        </w:rPr>
        <w:lastRenderedPageBreak/>
        <w:drawing>
          <wp:inline distT="0" distB="0" distL="0" distR="0" wp14:anchorId="31292EF8" wp14:editId="21F25A1E">
            <wp:extent cx="5791835" cy="79425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942580"/>
                    </a:xfrm>
                    <a:prstGeom prst="rect">
                      <a:avLst/>
                    </a:prstGeom>
                  </pic:spPr>
                </pic:pic>
              </a:graphicData>
            </a:graphic>
          </wp:inline>
        </w:drawing>
      </w:r>
    </w:p>
    <w:p w:rsidR="00046CFC" w:rsidRPr="00AA4D94" w:rsidRDefault="00046CFC" w:rsidP="00B7358D">
      <w:pPr>
        <w:autoSpaceDE w:val="0"/>
        <w:autoSpaceDN w:val="0"/>
        <w:adjustRightInd w:val="0"/>
        <w:spacing w:before="360" w:after="240" w:line="360" w:lineRule="auto"/>
        <w:jc w:val="both"/>
        <w:rPr>
          <w:rFonts w:ascii="Palatino Linotype" w:eastAsiaTheme="minorEastAsia" w:hAnsi="Palatino Linotype" w:cs="Arial"/>
          <w:szCs w:val="22"/>
        </w:rPr>
      </w:pPr>
      <w:r w:rsidRPr="00AA4D94">
        <w:rPr>
          <w:rFonts w:ascii="Palatino Linotype" w:hAnsi="Palatino Linotype" w:cs="Arial"/>
          <w:bCs/>
          <w:color w:val="000000"/>
        </w:rPr>
        <w:lastRenderedPageBreak/>
        <w:t xml:space="preserve">Derivado de lo anterior, es posible afirmar que </w:t>
      </w:r>
      <w:r w:rsidR="00750E18" w:rsidRPr="00AA4D94">
        <w:rPr>
          <w:rFonts w:ascii="Palatino Linotype" w:hAnsi="Palatino Linotype" w:cs="Arial"/>
          <w:b/>
          <w:bCs/>
          <w:color w:val="000000"/>
        </w:rPr>
        <w:t xml:space="preserve">EL SUJETO OBLIGADO </w:t>
      </w:r>
      <w:r w:rsidRPr="00AA4D94">
        <w:rPr>
          <w:rFonts w:ascii="Palatino Linotype" w:hAnsi="Palatino Linotype" w:cs="Arial"/>
          <w:bCs/>
          <w:color w:val="000000"/>
        </w:rPr>
        <w:t xml:space="preserve">genera el Estado Analítico de la Deuda y otros Pasivos, que concentra las obligaciones insolutas de los entes públicos al inicio y fin de cada periodo derivadas de endeudamiento interno y externo, sin embargo, no pasa de la óptica del que resuelve, que el particular solicitó la “situación actual”, por lo que cabe hacer alusión al artículo 50 de la Ley de Fiscalización Superior del Estado de México, que en su texto establece que, </w:t>
      </w:r>
      <w:r w:rsidRPr="00AA4D94">
        <w:rPr>
          <w:rFonts w:ascii="Palatino Linotype" w:eastAsiaTheme="minorEastAsia" w:hAnsi="Palatino Linotype" w:cs="Arial"/>
          <w:szCs w:val="22"/>
        </w:rPr>
        <w:t>la información de la cuenta pública remitida al OSFEM tiene el carácter de pública, hasta en tanto dicho Órgano Superior emita su respectivo Informe de Resultados, esto es, hasta el treinta de septiembre del año inmediato posterior.</w:t>
      </w:r>
    </w:p>
    <w:p w:rsidR="00046CFC" w:rsidRPr="00AA4D94" w:rsidRDefault="00046CFC" w:rsidP="00A77572">
      <w:pPr>
        <w:autoSpaceDE w:val="0"/>
        <w:autoSpaceDN w:val="0"/>
        <w:adjustRightInd w:val="0"/>
        <w:spacing w:before="360" w:after="240" w:line="360" w:lineRule="auto"/>
        <w:jc w:val="both"/>
        <w:rPr>
          <w:rFonts w:ascii="Palatino Linotype" w:hAnsi="Palatino Linotype" w:cs="Arial"/>
          <w:bCs/>
          <w:color w:val="000000"/>
        </w:rPr>
      </w:pPr>
      <w:r w:rsidRPr="00AA4D94">
        <w:rPr>
          <w:rFonts w:ascii="Palatino Linotype" w:hAnsi="Palatino Linotype" w:cs="Arial"/>
          <w:bCs/>
          <w:color w:val="000000"/>
        </w:rPr>
        <w:t>Bajo dicho contexto, no se soslaya que la cuenta pública del ejercicio fiscal 2018 aún no se entregaba a la fecha de la solicitud de información</w:t>
      </w:r>
      <w:r w:rsidR="00750E18" w:rsidRPr="00AA4D94">
        <w:rPr>
          <w:rFonts w:ascii="Palatino Linotype" w:hAnsi="Palatino Linotype" w:cs="Arial"/>
          <w:bCs/>
          <w:color w:val="000000"/>
        </w:rPr>
        <w:t>;</w:t>
      </w:r>
      <w:r w:rsidRPr="00AA4D94">
        <w:rPr>
          <w:rFonts w:ascii="Palatino Linotype" w:hAnsi="Palatino Linotype" w:cs="Arial"/>
          <w:bCs/>
          <w:color w:val="000000"/>
        </w:rPr>
        <w:t xml:space="preserve"> sin embargo</w:t>
      </w:r>
      <w:r w:rsidR="00750E18" w:rsidRPr="00AA4D94">
        <w:rPr>
          <w:rFonts w:ascii="Palatino Linotype" w:hAnsi="Palatino Linotype" w:cs="Arial"/>
          <w:bCs/>
          <w:color w:val="000000"/>
        </w:rPr>
        <w:t>, pudiera</w:t>
      </w:r>
      <w:r w:rsidRPr="00AA4D94">
        <w:rPr>
          <w:rFonts w:ascii="Palatino Linotype" w:hAnsi="Palatino Linotype" w:cs="Arial"/>
          <w:bCs/>
          <w:color w:val="000000"/>
        </w:rPr>
        <w:t xml:space="preserve"> obrar en los archivos del </w:t>
      </w:r>
      <w:r w:rsidR="00750E18" w:rsidRPr="00AA4D94">
        <w:rPr>
          <w:rFonts w:ascii="Palatino Linotype" w:hAnsi="Palatino Linotype" w:cs="Arial"/>
          <w:b/>
          <w:bCs/>
          <w:color w:val="000000"/>
        </w:rPr>
        <w:t xml:space="preserve">SUJETO OBLIGADO </w:t>
      </w:r>
      <w:r w:rsidRPr="00AA4D94">
        <w:rPr>
          <w:rFonts w:ascii="Palatino Linotype" w:hAnsi="Palatino Linotype" w:cs="Arial"/>
          <w:bCs/>
          <w:color w:val="000000"/>
        </w:rPr>
        <w:t xml:space="preserve">documentos que den cuenta del adeudo solicitado por concepto de </w:t>
      </w:r>
      <w:r w:rsidRPr="00AA4D94">
        <w:rPr>
          <w:rFonts w:ascii="Palatino Linotype" w:eastAsiaTheme="minorEastAsia" w:hAnsi="Palatino Linotype" w:cs="Arial"/>
          <w:szCs w:val="22"/>
        </w:rPr>
        <w:t>alumbrado público, que sirva de sustento para la elaboración del Estado de la Cuenta Pública.</w:t>
      </w:r>
    </w:p>
    <w:p w:rsidR="00FD7C9C" w:rsidRPr="00AA4D94" w:rsidRDefault="00FD7C9C" w:rsidP="00FD7C9C">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t>Mantenimiento preventivo y censo del alumbrado público</w:t>
      </w:r>
    </w:p>
    <w:p w:rsidR="00FD7C9C" w:rsidRPr="00AA4D94" w:rsidRDefault="00FD7C9C" w:rsidP="00FD7C9C">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Bajo este rubro podemos ubicar los requerimientos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 xml:space="preserve">, descritos en el </w:t>
      </w:r>
      <w:r w:rsidRPr="00AA4D94">
        <w:rPr>
          <w:rFonts w:ascii="Palatino Linotype" w:hAnsi="Palatino Linotype"/>
          <w:b/>
        </w:rPr>
        <w:t>Apartado I, numeral 5</w:t>
      </w:r>
      <w:r w:rsidRPr="00AA4D94">
        <w:rPr>
          <w:rFonts w:ascii="Palatino Linotype" w:hAnsi="Palatino Linotype"/>
        </w:rPr>
        <w:t>,</w:t>
      </w:r>
      <w:r w:rsidRPr="00AA4D94">
        <w:rPr>
          <w:rFonts w:ascii="Palatino Linotype" w:hAnsi="Palatino Linotype"/>
          <w:b/>
        </w:rPr>
        <w:t xml:space="preserve"> Apartado I</w:t>
      </w:r>
      <w:r w:rsidR="00A77572" w:rsidRPr="00AA4D94">
        <w:rPr>
          <w:rFonts w:ascii="Palatino Linotype" w:hAnsi="Palatino Linotype"/>
          <w:b/>
        </w:rPr>
        <w:t>I</w:t>
      </w:r>
      <w:r w:rsidRPr="00AA4D94">
        <w:rPr>
          <w:rFonts w:ascii="Palatino Linotype" w:hAnsi="Palatino Linotype"/>
          <w:b/>
        </w:rPr>
        <w:t>, numeral</w:t>
      </w:r>
      <w:r w:rsidR="00A77572" w:rsidRPr="00AA4D94">
        <w:rPr>
          <w:rFonts w:ascii="Palatino Linotype" w:hAnsi="Palatino Linotype"/>
          <w:b/>
        </w:rPr>
        <w:t>es 1 y 2</w:t>
      </w:r>
      <w:r w:rsidRPr="00AA4D94">
        <w:rPr>
          <w:rFonts w:ascii="Palatino Linotype" w:hAnsi="Palatino Linotype"/>
        </w:rPr>
        <w:t>,</w:t>
      </w:r>
      <w:r w:rsidR="00A77572" w:rsidRPr="00AA4D94">
        <w:rPr>
          <w:rFonts w:ascii="Palatino Linotype" w:hAnsi="Palatino Linotype"/>
        </w:rPr>
        <w:t xml:space="preserve"> </w:t>
      </w:r>
    </w:p>
    <w:p w:rsidR="00A77572" w:rsidRPr="00AA4D94" w:rsidRDefault="00A77572" w:rsidP="00B7358D">
      <w:pPr>
        <w:autoSpaceDE w:val="0"/>
        <w:autoSpaceDN w:val="0"/>
        <w:adjustRightInd w:val="0"/>
        <w:spacing w:before="360" w:after="240" w:line="360" w:lineRule="auto"/>
        <w:jc w:val="both"/>
        <w:rPr>
          <w:rFonts w:ascii="Palatino Linotype" w:hAnsi="Palatino Linotype"/>
          <w:i/>
        </w:rPr>
      </w:pPr>
      <w:r w:rsidRPr="00AA4D94">
        <w:rPr>
          <w:rFonts w:ascii="Palatino Linotype" w:hAnsi="Palatino Linotype"/>
        </w:rPr>
        <w:t xml:space="preserve">Visto desde la perspectiva planteada en </w:t>
      </w:r>
      <w:r w:rsidR="005A055C" w:rsidRPr="00AA4D94">
        <w:rPr>
          <w:rFonts w:ascii="Palatino Linotype" w:hAnsi="Palatino Linotype"/>
        </w:rPr>
        <w:t>la</w:t>
      </w:r>
      <w:r w:rsidRPr="00AA4D94">
        <w:rPr>
          <w:rFonts w:ascii="Palatino Linotype" w:hAnsi="Palatino Linotype"/>
        </w:rPr>
        <w:t xml:space="preserve"> solicitud de acceso a la información</w:t>
      </w:r>
      <w:r w:rsidR="005A055C" w:rsidRPr="00AA4D94">
        <w:rPr>
          <w:rFonts w:ascii="Palatino Linotype" w:hAnsi="Palatino Linotype"/>
        </w:rPr>
        <w:t xml:space="preserve"> de mérito</w:t>
      </w:r>
      <w:r w:rsidRPr="00AA4D94">
        <w:rPr>
          <w:rFonts w:ascii="Palatino Linotype" w:hAnsi="Palatino Linotype"/>
        </w:rPr>
        <w:t xml:space="preserve">, se tiene la necesidad de recurrir al contenido del Diccionario de la Real Academia </w:t>
      </w:r>
      <w:r w:rsidRPr="00AA4D94">
        <w:rPr>
          <w:rFonts w:ascii="Palatino Linotype" w:hAnsi="Palatino Linotype" w:cs="Arial"/>
          <w:bCs/>
          <w:color w:val="000000"/>
        </w:rPr>
        <w:t>Española</w:t>
      </w:r>
      <w:r w:rsidRPr="00AA4D94">
        <w:rPr>
          <w:rFonts w:ascii="Palatino Linotype" w:hAnsi="Palatino Linotype"/>
        </w:rPr>
        <w:t xml:space="preserve">, para establecer nuestro estudio a partir de la definición de la palabra “censo”, que es conceptualizada como </w:t>
      </w:r>
      <w:r w:rsidR="00B7358D" w:rsidRPr="00AA4D94">
        <w:rPr>
          <w:rFonts w:ascii="Palatino Linotype" w:hAnsi="Palatino Linotype"/>
        </w:rPr>
        <w:t>“</w:t>
      </w:r>
      <w:r w:rsidRPr="00AA4D94">
        <w:rPr>
          <w:rFonts w:ascii="Palatino Linotype" w:hAnsi="Palatino Linotype"/>
          <w:i/>
        </w:rPr>
        <w:t>el padrón o lista de la población o riqueza de una nación o pueblo</w:t>
      </w:r>
      <w:r w:rsidR="00B7358D" w:rsidRPr="00AA4D94">
        <w:rPr>
          <w:rFonts w:ascii="Palatino Linotype" w:hAnsi="Palatino Linotype"/>
          <w:i/>
        </w:rPr>
        <w:t>”</w:t>
      </w:r>
      <w:r w:rsidRPr="00AA4D94">
        <w:rPr>
          <w:rFonts w:ascii="Palatino Linotype" w:hAnsi="Palatino Linotype"/>
          <w:i/>
        </w:rPr>
        <w:t>.</w:t>
      </w:r>
    </w:p>
    <w:p w:rsidR="00A77572" w:rsidRPr="00AA4D94" w:rsidRDefault="00A77572" w:rsidP="00B7358D">
      <w:pPr>
        <w:autoSpaceDE w:val="0"/>
        <w:autoSpaceDN w:val="0"/>
        <w:adjustRightInd w:val="0"/>
        <w:spacing w:before="360" w:after="240" w:line="360" w:lineRule="auto"/>
        <w:jc w:val="both"/>
        <w:rPr>
          <w:rFonts w:ascii="Palatino Linotype" w:hAnsi="Palatino Linotype" w:cs="Arial"/>
        </w:rPr>
      </w:pPr>
      <w:r w:rsidRPr="00AA4D94">
        <w:rPr>
          <w:rFonts w:ascii="Palatino Linotype" w:hAnsi="Palatino Linotype"/>
        </w:rPr>
        <w:lastRenderedPageBreak/>
        <w:t xml:space="preserve">Bajo dichos argumentos, este </w:t>
      </w:r>
      <w:r w:rsidRPr="00AA4D94">
        <w:rPr>
          <w:rFonts w:ascii="Palatino Linotype" w:hAnsi="Palatino Linotype" w:cs="Arial"/>
        </w:rPr>
        <w:t xml:space="preserve">Órgano </w:t>
      </w:r>
      <w:r w:rsidRPr="00AA4D94">
        <w:rPr>
          <w:rFonts w:ascii="Palatino Linotype" w:hAnsi="Palatino Linotype"/>
        </w:rPr>
        <w:t>Garante</w:t>
      </w:r>
      <w:r w:rsidRPr="00AA4D94">
        <w:rPr>
          <w:rFonts w:ascii="Palatino Linotype" w:hAnsi="Palatino Linotype" w:cs="Arial"/>
        </w:rPr>
        <w:t xml:space="preserve"> estima necesario precisar que la Ley de Transparencia y </w:t>
      </w:r>
      <w:r w:rsidRPr="00AA4D94">
        <w:rPr>
          <w:rFonts w:ascii="Palatino Linotype" w:hAnsi="Palatino Linotype"/>
        </w:rPr>
        <w:t>Acceso</w:t>
      </w:r>
      <w:r w:rsidRPr="00AA4D94">
        <w:rPr>
          <w:rFonts w:ascii="Palatino Linotype" w:hAnsi="Palatino Linotype" w:cs="Arial"/>
        </w:rPr>
        <w:t xml:space="preserve"> a la </w:t>
      </w:r>
      <w:r w:rsidRPr="00AA4D94">
        <w:rPr>
          <w:rFonts w:ascii="Palatino Linotype" w:hAnsi="Palatino Linotype"/>
        </w:rPr>
        <w:t>Información</w:t>
      </w:r>
      <w:r w:rsidRPr="00AA4D94">
        <w:rPr>
          <w:rFonts w:ascii="Palatino Linotype" w:hAnsi="Palatino Linotype" w:cs="Arial"/>
        </w:rPr>
        <w:t xml:space="preserve"> Pública del Estado de México y Municipios, prevé que el </w:t>
      </w:r>
      <w:r w:rsidRPr="00AA4D94">
        <w:rPr>
          <w:rFonts w:ascii="Palatino Linotype" w:hAnsi="Palatino Linotype" w:cs="Arial"/>
          <w:color w:val="222222"/>
        </w:rPr>
        <w:t>derecho</w:t>
      </w:r>
      <w:r w:rsidRPr="00AA4D94">
        <w:rPr>
          <w:rFonts w:ascii="Palatino Linotype" w:hAnsi="Palatino Linotype" w:cs="Arial"/>
        </w:rPr>
        <w:t xml:space="preserve">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efectuar cálculos o investigaciones para presentarla conforme al interés de los particulares.</w:t>
      </w:r>
    </w:p>
    <w:p w:rsidR="00A77572" w:rsidRPr="00AA4D94" w:rsidRDefault="00A77572" w:rsidP="00B7358D">
      <w:pPr>
        <w:autoSpaceDE w:val="0"/>
        <w:autoSpaceDN w:val="0"/>
        <w:adjustRightInd w:val="0"/>
        <w:spacing w:before="300" w:after="240" w:line="360" w:lineRule="auto"/>
        <w:jc w:val="both"/>
        <w:rPr>
          <w:rFonts w:ascii="Palatino Linotype" w:hAnsi="Palatino Linotype" w:cs="Arial"/>
        </w:rPr>
      </w:pPr>
      <w:r w:rsidRPr="00AA4D94">
        <w:rPr>
          <w:rFonts w:ascii="Palatino Linotype" w:hAnsi="Palatino Linotype" w:cs="Arial"/>
        </w:rPr>
        <w:t>Dicho lo previo, del análisis meticuloso al marco normativo que rige el actuar del Sujeto Obligado</w:t>
      </w:r>
      <w:r w:rsidRPr="00AA4D94">
        <w:rPr>
          <w:rFonts w:ascii="Palatino Linotype" w:hAnsi="Palatino Linotype" w:cs="Arial"/>
          <w:b/>
        </w:rPr>
        <w:t xml:space="preserve"> </w:t>
      </w:r>
      <w:r w:rsidRPr="00AA4D94">
        <w:rPr>
          <w:rFonts w:ascii="Palatino Linotype" w:hAnsi="Palatino Linotype" w:cs="Arial"/>
        </w:rPr>
        <w:t xml:space="preserve">no se advierte que el mismo este constreñido a generar, poseer o administrar el “censo” </w:t>
      </w:r>
      <w:r w:rsidRPr="00AA4D94">
        <w:rPr>
          <w:rFonts w:ascii="Palatino Linotype" w:hAnsi="Palatino Linotype"/>
        </w:rPr>
        <w:t>solicit</w:t>
      </w:r>
      <w:r w:rsidR="00B7358D" w:rsidRPr="00AA4D94">
        <w:rPr>
          <w:rFonts w:ascii="Palatino Linotype" w:hAnsi="Palatino Linotype"/>
        </w:rPr>
        <w:t>ado</w:t>
      </w:r>
      <w:r w:rsidR="00B7358D" w:rsidRPr="00AA4D94">
        <w:rPr>
          <w:rFonts w:ascii="Palatino Linotype" w:hAnsi="Palatino Linotype" w:cs="Arial"/>
        </w:rPr>
        <w:t>;</w:t>
      </w:r>
      <w:r w:rsidRPr="00AA4D94">
        <w:rPr>
          <w:rFonts w:ascii="Palatino Linotype" w:hAnsi="Palatino Linotype" w:cs="Arial"/>
        </w:rPr>
        <w:t xml:space="preserve"> sin embargo, en términos de la Ley de Bienes del Estado de México y sus Municipios, regula el registro, destino, administración, control, posesión, uso, aprovechamiento y desincorporación de los bienes, que en su dispositivos legales 11</w:t>
      </w:r>
      <w:r w:rsidR="000D3547" w:rsidRPr="00AA4D94">
        <w:rPr>
          <w:rFonts w:ascii="Palatino Linotype" w:hAnsi="Palatino Linotype" w:cs="Arial"/>
        </w:rPr>
        <w:t>,</w:t>
      </w:r>
      <w:r w:rsidRPr="00AA4D94">
        <w:rPr>
          <w:rFonts w:ascii="Palatino Linotype" w:hAnsi="Palatino Linotype" w:cs="Arial"/>
        </w:rPr>
        <w:t xml:space="preserve"> fracción I, 12, 18</w:t>
      </w:r>
      <w:r w:rsidR="00AD492F" w:rsidRPr="00AA4D94">
        <w:rPr>
          <w:rFonts w:ascii="Palatino Linotype" w:hAnsi="Palatino Linotype" w:cs="Arial"/>
        </w:rPr>
        <w:t>,</w:t>
      </w:r>
      <w:r w:rsidRPr="00AA4D94">
        <w:rPr>
          <w:rFonts w:ascii="Palatino Linotype" w:hAnsi="Palatino Linotype" w:cs="Arial"/>
        </w:rPr>
        <w:t xml:space="preserve"> fracción VI, 52 y 67, establece de manera puntual lo siguiente:</w:t>
      </w:r>
    </w:p>
    <w:p w:rsidR="00A77572" w:rsidRPr="00AA4D94" w:rsidRDefault="00A77572"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i/>
          <w:sz w:val="22"/>
        </w:rPr>
        <w:t>“</w:t>
      </w:r>
      <w:r w:rsidRPr="00AA4D94">
        <w:rPr>
          <w:rFonts w:ascii="Palatino Linotype" w:hAnsi="Palatino Linotype"/>
          <w:b/>
          <w:i/>
          <w:sz w:val="22"/>
        </w:rPr>
        <w:t xml:space="preserve">Artículo 11.- </w:t>
      </w:r>
      <w:r w:rsidRPr="00AA4D94">
        <w:rPr>
          <w:rFonts w:ascii="Palatino Linotype" w:hAnsi="Palatino Linotype"/>
          <w:b/>
          <w:i/>
          <w:sz w:val="22"/>
          <w:u w:val="single"/>
        </w:rPr>
        <w:t>Corresponde a cada una de las dependencias, organismos auxiliares y entidades de la administración pública</w:t>
      </w:r>
      <w:r w:rsidRPr="00AA4D94">
        <w:rPr>
          <w:rFonts w:ascii="Palatino Linotype" w:hAnsi="Palatino Linotype"/>
          <w:i/>
          <w:sz w:val="22"/>
        </w:rPr>
        <w:t xml:space="preserve"> estatal y </w:t>
      </w:r>
      <w:r w:rsidRPr="00AA4D94">
        <w:rPr>
          <w:rFonts w:ascii="Palatino Linotype" w:hAnsi="Palatino Linotype"/>
          <w:b/>
          <w:i/>
          <w:sz w:val="22"/>
          <w:u w:val="single"/>
        </w:rPr>
        <w:t>municipal</w:t>
      </w:r>
      <w:r w:rsidRPr="00AA4D94">
        <w:rPr>
          <w:rFonts w:ascii="Palatino Linotype" w:hAnsi="Palatino Linotype"/>
          <w:i/>
          <w:sz w:val="22"/>
        </w:rPr>
        <w:t xml:space="preserve">: </w:t>
      </w:r>
    </w:p>
    <w:p w:rsidR="00AD492F" w:rsidRPr="00AA4D94" w:rsidRDefault="00A77572"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b/>
          <w:i/>
          <w:sz w:val="22"/>
        </w:rPr>
        <w:t xml:space="preserve">I. </w:t>
      </w:r>
      <w:r w:rsidRPr="00AA4D94">
        <w:rPr>
          <w:rFonts w:ascii="Palatino Linotype" w:hAnsi="Palatino Linotype"/>
          <w:b/>
          <w:i/>
          <w:sz w:val="22"/>
          <w:u w:val="single"/>
        </w:rPr>
        <w:t>Administrar, controlar y utilizar adecuadamente los bienes muebles e inmuebles que detenten o tengan asignados</w:t>
      </w:r>
      <w:r w:rsidRPr="00AA4D94">
        <w:rPr>
          <w:rFonts w:ascii="Palatino Linotype" w:hAnsi="Palatino Linotype"/>
          <w:i/>
          <w:sz w:val="22"/>
        </w:rPr>
        <w:t>;</w:t>
      </w:r>
    </w:p>
    <w:p w:rsidR="00A77572" w:rsidRPr="00AA4D94" w:rsidRDefault="00AD492F"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i/>
          <w:sz w:val="22"/>
        </w:rPr>
        <w:t>[</w:t>
      </w:r>
      <w:r w:rsidR="00A77572" w:rsidRPr="00AA4D94">
        <w:rPr>
          <w:rFonts w:ascii="Palatino Linotype" w:hAnsi="Palatino Linotype"/>
          <w:i/>
          <w:sz w:val="22"/>
        </w:rPr>
        <w:t>…</w:t>
      </w:r>
      <w:r w:rsidRPr="00AA4D94">
        <w:rPr>
          <w:rFonts w:ascii="Palatino Linotype" w:hAnsi="Palatino Linotype"/>
          <w:i/>
          <w:sz w:val="22"/>
        </w:rPr>
        <w:t>]</w:t>
      </w:r>
    </w:p>
    <w:p w:rsidR="00A77572" w:rsidRPr="00AA4D94" w:rsidRDefault="00A77572"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b/>
          <w:i/>
          <w:sz w:val="22"/>
        </w:rPr>
        <w:t>Artículo 12</w:t>
      </w:r>
      <w:r w:rsidRPr="00AA4D94">
        <w:rPr>
          <w:rFonts w:ascii="Palatino Linotype" w:hAnsi="Palatino Linotype"/>
          <w:i/>
          <w:sz w:val="22"/>
        </w:rPr>
        <w:t xml:space="preserve">.- </w:t>
      </w:r>
      <w:r w:rsidRPr="00AA4D94">
        <w:rPr>
          <w:rFonts w:ascii="Palatino Linotype" w:hAnsi="Palatino Linotype"/>
          <w:b/>
          <w:i/>
          <w:sz w:val="22"/>
          <w:u w:val="single"/>
        </w:rPr>
        <w:t>El Estado de México y sus municipios tienen personalidad jurídica para adquirir y poseer bienes para la prestación de los servicios públicos</w:t>
      </w:r>
      <w:r w:rsidRPr="00AA4D94">
        <w:rPr>
          <w:rFonts w:ascii="Palatino Linotype" w:hAnsi="Palatino Linotype"/>
          <w:i/>
          <w:sz w:val="22"/>
        </w:rPr>
        <w:t xml:space="preserve"> y el cumplimiento de sus fines.</w:t>
      </w:r>
    </w:p>
    <w:p w:rsidR="00A77572" w:rsidRPr="00AA4D94" w:rsidRDefault="00A77572"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b/>
          <w:i/>
          <w:sz w:val="22"/>
        </w:rPr>
        <w:t>Artículo 18</w:t>
      </w:r>
      <w:r w:rsidRPr="00AA4D94">
        <w:rPr>
          <w:rFonts w:ascii="Palatino Linotype" w:hAnsi="Palatino Linotype"/>
          <w:i/>
          <w:sz w:val="22"/>
        </w:rPr>
        <w:t xml:space="preserve">.- </w:t>
      </w:r>
      <w:r w:rsidRPr="00AA4D94">
        <w:rPr>
          <w:rFonts w:ascii="Palatino Linotype" w:hAnsi="Palatino Linotype"/>
          <w:b/>
          <w:i/>
          <w:sz w:val="22"/>
          <w:u w:val="single"/>
        </w:rPr>
        <w:t>Son bienes destinados a un servicio público</w:t>
      </w:r>
      <w:r w:rsidRPr="00AA4D94">
        <w:rPr>
          <w:rFonts w:ascii="Palatino Linotype" w:hAnsi="Palatino Linotype"/>
          <w:i/>
          <w:sz w:val="22"/>
        </w:rPr>
        <w:t>:</w:t>
      </w:r>
    </w:p>
    <w:p w:rsidR="00A77572" w:rsidRPr="00AA4D94" w:rsidRDefault="000D3547"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i/>
          <w:sz w:val="22"/>
        </w:rPr>
        <w:t>[…]</w:t>
      </w:r>
    </w:p>
    <w:p w:rsidR="00A77572" w:rsidRPr="00AA4D94" w:rsidRDefault="00A77572"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b/>
          <w:i/>
          <w:sz w:val="22"/>
        </w:rPr>
        <w:lastRenderedPageBreak/>
        <w:t>VI.</w:t>
      </w:r>
      <w:r w:rsidRPr="00AA4D94">
        <w:rPr>
          <w:rFonts w:ascii="Palatino Linotype" w:hAnsi="Palatino Linotype"/>
          <w:i/>
          <w:sz w:val="22"/>
        </w:rPr>
        <w:t xml:space="preserve"> </w:t>
      </w:r>
      <w:r w:rsidRPr="00AA4D94">
        <w:rPr>
          <w:rFonts w:ascii="Palatino Linotype" w:hAnsi="Palatino Linotype"/>
          <w:b/>
          <w:i/>
          <w:sz w:val="22"/>
          <w:u w:val="single"/>
        </w:rPr>
        <w:t>Los bienes muebles de propiedad</w:t>
      </w:r>
      <w:r w:rsidRPr="00AA4D94">
        <w:rPr>
          <w:rFonts w:ascii="Palatino Linotype" w:hAnsi="Palatino Linotype"/>
          <w:i/>
          <w:sz w:val="22"/>
        </w:rPr>
        <w:t xml:space="preserve"> estatal o </w:t>
      </w:r>
      <w:r w:rsidRPr="00AA4D94">
        <w:rPr>
          <w:rFonts w:ascii="Palatino Linotype" w:hAnsi="Palatino Linotype"/>
          <w:b/>
          <w:i/>
          <w:sz w:val="22"/>
          <w:u w:val="single"/>
        </w:rPr>
        <w:t>municipal que tengan uso o utilidad en la prestación de un servicio público</w:t>
      </w:r>
      <w:r w:rsidRPr="00AA4D94">
        <w:rPr>
          <w:rFonts w:ascii="Palatino Linotype" w:hAnsi="Palatino Linotype"/>
          <w:i/>
          <w:sz w:val="22"/>
        </w:rPr>
        <w:t>; y…</w:t>
      </w:r>
    </w:p>
    <w:p w:rsidR="00A77572" w:rsidRPr="00AA4D94" w:rsidRDefault="00A77572"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b/>
          <w:i/>
          <w:sz w:val="22"/>
        </w:rPr>
        <w:t>Artículo 52.-</w:t>
      </w:r>
      <w:r w:rsidRPr="00AA4D94">
        <w:rPr>
          <w:rFonts w:ascii="Palatino Linotype" w:hAnsi="Palatino Linotype"/>
          <w:i/>
          <w:sz w:val="22"/>
        </w:rPr>
        <w:t xml:space="preserve"> </w:t>
      </w:r>
      <w:r w:rsidRPr="00AA4D94">
        <w:rPr>
          <w:rFonts w:ascii="Palatino Linotype" w:hAnsi="Palatino Linotype"/>
          <w:b/>
          <w:i/>
          <w:sz w:val="22"/>
          <w:u w:val="single"/>
        </w:rPr>
        <w:t>Tratándose de muebles, éstos serán considerados en lo individual y en conjunto como integrantes del dominio público</w:t>
      </w:r>
      <w:r w:rsidRPr="00AA4D94">
        <w:rPr>
          <w:rFonts w:ascii="Palatino Linotype" w:hAnsi="Palatino Linotype"/>
          <w:i/>
          <w:sz w:val="22"/>
        </w:rPr>
        <w:t>, por lo tanto bastará que los bienes se encuentren inventariados y asignados a la dependencia, organismo auxiliar estatal o municipal, para que se consideren como parte de este dominio.</w:t>
      </w:r>
    </w:p>
    <w:p w:rsidR="00A77572" w:rsidRPr="00AA4D94" w:rsidRDefault="00A77572" w:rsidP="00B7358D">
      <w:pPr>
        <w:autoSpaceDE w:val="0"/>
        <w:autoSpaceDN w:val="0"/>
        <w:adjustRightInd w:val="0"/>
        <w:spacing w:before="200" w:after="200"/>
        <w:ind w:left="709" w:right="709"/>
        <w:jc w:val="both"/>
        <w:rPr>
          <w:rFonts w:ascii="Palatino Linotype" w:hAnsi="Palatino Linotype"/>
          <w:i/>
          <w:sz w:val="22"/>
        </w:rPr>
      </w:pPr>
      <w:r w:rsidRPr="00AA4D94">
        <w:rPr>
          <w:rFonts w:ascii="Palatino Linotype" w:hAnsi="Palatino Linotype"/>
          <w:b/>
          <w:i/>
          <w:sz w:val="22"/>
        </w:rPr>
        <w:t xml:space="preserve">Artículo 67. </w:t>
      </w:r>
      <w:r w:rsidRPr="00AA4D94">
        <w:rPr>
          <w:rFonts w:ascii="Palatino Linotype" w:hAnsi="Palatino Linotype"/>
          <w:i/>
          <w:sz w:val="22"/>
        </w:rPr>
        <w:t xml:space="preserve">La Secretaría de Finanzas y </w:t>
      </w:r>
      <w:r w:rsidRPr="00AA4D94">
        <w:rPr>
          <w:rFonts w:ascii="Palatino Linotype" w:hAnsi="Palatino Linotype"/>
          <w:b/>
          <w:i/>
          <w:sz w:val="22"/>
          <w:u w:val="single"/>
        </w:rPr>
        <w:t>los ayuntamientos determinarán los procedimientos para integrar el inventario de los bienes del dominio público y privado</w:t>
      </w:r>
      <w:r w:rsidRPr="00AA4D94">
        <w:rPr>
          <w:rFonts w:ascii="Palatino Linotype" w:hAnsi="Palatino Linotype"/>
          <w:i/>
          <w:sz w:val="22"/>
        </w:rPr>
        <w:t xml:space="preserve"> estatal o </w:t>
      </w:r>
      <w:r w:rsidRPr="00AA4D94">
        <w:rPr>
          <w:rFonts w:ascii="Palatino Linotype" w:hAnsi="Palatino Linotype"/>
          <w:b/>
          <w:i/>
          <w:sz w:val="22"/>
          <w:u w:val="single"/>
        </w:rPr>
        <w:t>municipal</w:t>
      </w:r>
      <w:r w:rsidRPr="00AA4D94">
        <w:rPr>
          <w:rFonts w:ascii="Palatino Linotype" w:hAnsi="Palatino Linotype"/>
          <w:i/>
          <w:sz w:val="22"/>
        </w:rPr>
        <w:t>.”</w:t>
      </w:r>
    </w:p>
    <w:p w:rsidR="00B7358D" w:rsidRPr="00AA4D94" w:rsidRDefault="00B7358D" w:rsidP="00B7358D">
      <w:pPr>
        <w:autoSpaceDE w:val="0"/>
        <w:autoSpaceDN w:val="0"/>
        <w:adjustRightInd w:val="0"/>
        <w:spacing w:before="200" w:after="200"/>
        <w:ind w:left="709" w:right="616"/>
        <w:jc w:val="both"/>
        <w:rPr>
          <w:rFonts w:ascii="Palatino Linotype" w:hAnsi="Palatino Linotype"/>
          <w:sz w:val="22"/>
        </w:rPr>
      </w:pPr>
      <w:r w:rsidRPr="00AA4D94">
        <w:rPr>
          <w:rFonts w:ascii="Palatino Linotype" w:hAnsi="Palatino Linotype"/>
          <w:sz w:val="22"/>
        </w:rPr>
        <w:t>(Énfasis añadido)</w:t>
      </w:r>
    </w:p>
    <w:p w:rsidR="00A77572" w:rsidRPr="00AA4D94" w:rsidRDefault="00A77572" w:rsidP="00B7358D">
      <w:pPr>
        <w:autoSpaceDE w:val="0"/>
        <w:autoSpaceDN w:val="0"/>
        <w:adjustRightInd w:val="0"/>
        <w:spacing w:before="300" w:after="240" w:line="360" w:lineRule="auto"/>
        <w:jc w:val="both"/>
        <w:rPr>
          <w:rFonts w:ascii="Palatino Linotype" w:hAnsi="Palatino Linotype"/>
        </w:rPr>
      </w:pPr>
      <w:r w:rsidRPr="00AA4D94">
        <w:rPr>
          <w:rFonts w:ascii="Palatino Linotype" w:hAnsi="Palatino Linotype"/>
        </w:rPr>
        <w:t>En ese contexto, es una atribución de los Ayuntamientos administrar, controlar y utilizar adecuadamente los bienes muebles e inmuebles que tengan asignados para la prestación de los servicios públicos en el cumplimiento de sus fines, los cuales son considerados en lo individual y en conjunto como integrantes del dominio público, en consecuencia deben encontrarse inventariados y asignados a la dependencia responsable.</w:t>
      </w:r>
    </w:p>
    <w:p w:rsidR="00A77572" w:rsidRPr="00AA4D94" w:rsidRDefault="00A77572" w:rsidP="00B7358D">
      <w:pPr>
        <w:autoSpaceDE w:val="0"/>
        <w:autoSpaceDN w:val="0"/>
        <w:adjustRightInd w:val="0"/>
        <w:spacing w:before="300" w:after="240" w:line="360" w:lineRule="auto"/>
        <w:jc w:val="both"/>
        <w:rPr>
          <w:rFonts w:ascii="Palatino Linotype" w:hAnsi="Palatino Linotype"/>
        </w:rPr>
      </w:pPr>
      <w:r w:rsidRPr="00AA4D94">
        <w:rPr>
          <w:rFonts w:ascii="Palatino Linotype" w:hAnsi="Palatino Linotype"/>
        </w:rPr>
        <w:t>Al respecto, el numerales IV párrafo décimo segundo y VI.2 de los Lineamientos para el Registro y Control del Inventario y Desincorporación de Bienes Muebles e Inmuebles de las Administración Pública Municipal, Dependencia Administrativas, Organismos Descentralizados y Fideicomisos Públicos, emitidos por el Órgano Superior de Fiscalización del Estado de México, disponen:</w:t>
      </w:r>
    </w:p>
    <w:p w:rsidR="00A77572" w:rsidRPr="00AA4D94" w:rsidRDefault="00A77572" w:rsidP="0029375A">
      <w:pPr>
        <w:autoSpaceDE w:val="0"/>
        <w:autoSpaceDN w:val="0"/>
        <w:adjustRightInd w:val="0"/>
        <w:spacing w:before="120" w:after="120"/>
        <w:ind w:left="709" w:right="709"/>
        <w:jc w:val="center"/>
        <w:rPr>
          <w:rFonts w:ascii="Palatino Linotype" w:hAnsi="Palatino Linotype"/>
          <w:i/>
          <w:sz w:val="22"/>
        </w:rPr>
      </w:pPr>
      <w:r w:rsidRPr="00AA4D94">
        <w:rPr>
          <w:rFonts w:ascii="Palatino Linotype" w:hAnsi="Palatino Linotype"/>
          <w:i/>
          <w:sz w:val="22"/>
        </w:rPr>
        <w:t>“</w:t>
      </w:r>
      <w:r w:rsidRPr="00AA4D94">
        <w:rPr>
          <w:rFonts w:ascii="Palatino Linotype" w:hAnsi="Palatino Linotype"/>
          <w:b/>
          <w:i/>
          <w:sz w:val="22"/>
        </w:rPr>
        <w:t>IV. DISPOSICIONES GENERALES</w:t>
      </w:r>
    </w:p>
    <w:p w:rsidR="00A77572" w:rsidRPr="00AA4D94" w:rsidRDefault="005A055C" w:rsidP="0029375A">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w:t>
      </w:r>
    </w:p>
    <w:p w:rsidR="00A77572" w:rsidRPr="00AA4D94" w:rsidRDefault="00A77572" w:rsidP="0029375A">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b/>
          <w:i/>
          <w:sz w:val="22"/>
        </w:rPr>
        <w:t>Bien mueble:</w:t>
      </w:r>
      <w:r w:rsidRPr="00AA4D94">
        <w:rPr>
          <w:rFonts w:ascii="Palatino Linotype" w:hAnsi="Palatino Linotype"/>
          <w:i/>
          <w:sz w:val="22"/>
        </w:rPr>
        <w:t xml:space="preserve"> Objeto que por su naturaleza de uso o consumo, puede ser trasladado de un lugar a otro, es todo aquello que se conoce como: mobiliario, mesas, sillas, libreros, anaqueles, equipo de oficina en general, equipo de transporte, semovientes, etc</w:t>
      </w:r>
      <w:r w:rsidR="00B7358D" w:rsidRPr="00AA4D94">
        <w:rPr>
          <w:rFonts w:ascii="Palatino Linotype" w:hAnsi="Palatino Linotype"/>
          <w:i/>
          <w:sz w:val="22"/>
        </w:rPr>
        <w:t xml:space="preserve">. </w:t>
      </w:r>
      <w:r w:rsidRPr="00AA4D94">
        <w:rPr>
          <w:rFonts w:ascii="Palatino Linotype" w:hAnsi="Palatino Linotype"/>
          <w:i/>
          <w:sz w:val="22"/>
        </w:rPr>
        <w:t>…</w:t>
      </w:r>
    </w:p>
    <w:p w:rsidR="00A77572" w:rsidRPr="00AA4D94" w:rsidRDefault="00A77572" w:rsidP="0029375A">
      <w:pPr>
        <w:autoSpaceDE w:val="0"/>
        <w:autoSpaceDN w:val="0"/>
        <w:adjustRightInd w:val="0"/>
        <w:spacing w:before="120" w:after="120"/>
        <w:ind w:left="709" w:right="709"/>
        <w:jc w:val="center"/>
        <w:rPr>
          <w:rFonts w:ascii="Palatino Linotype" w:hAnsi="Palatino Linotype"/>
          <w:i/>
          <w:sz w:val="22"/>
        </w:rPr>
      </w:pPr>
      <w:r w:rsidRPr="00AA4D94">
        <w:rPr>
          <w:rFonts w:ascii="Palatino Linotype" w:hAnsi="Palatino Linotype"/>
          <w:b/>
          <w:i/>
          <w:sz w:val="22"/>
        </w:rPr>
        <w:t>VI.2 INVENTARIO GENERAL DE BIENES MUEBLES</w:t>
      </w:r>
    </w:p>
    <w:p w:rsidR="00A77572" w:rsidRPr="00AA4D94" w:rsidRDefault="00A77572" w:rsidP="0029375A">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lastRenderedPageBreak/>
        <w:t xml:space="preserve">El inventario general de bienes muebles, es el documento en el que están registrados los bienes muebles propiedad de las entidades municipales, conteniendo sus características de identificación, tales como: nombre, número de inventario, marca, modelo, serie, uso, número de factura, costo, fecha de adquisición, estado de conservación (consultar formato en el apartado de anexos). </w:t>
      </w:r>
    </w:p>
    <w:p w:rsidR="00A77572" w:rsidRPr="00AA4D94" w:rsidRDefault="00A77572" w:rsidP="0029375A">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 xml:space="preserve">Tratándose de adquisiciones de bienes muebles, con un costo igual o mayor a 35 veces el Salario Mínimo General de la Zona Económica "C", deben registrarse contablemente como un aumento en el activo, y en la cedula de bienes muebles patrimoniales, aquellos con un costo inferior a 35 y hasta 17 veces el Salario Mínimo General de la Zona Económica "C", se registran solo en la cédula de bienes muebles patrimoniales de bajo costo como medida de control interno, y los bienes con un costo menor a este último se consideran bienes no inventariables y no requerirán de control alguno. </w:t>
      </w:r>
    </w:p>
    <w:p w:rsidR="00A77572" w:rsidRPr="00AA4D94" w:rsidRDefault="00A77572" w:rsidP="0029375A">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 xml:space="preserve">Derivado de lo anterior los Ayuntamientos, Organismos Descentralizados y Fideicomisos Públicos, registrarán sus activos en el informe mensual que es presentado al Órgano Superior de Fiscalización del Estado de México, a través del formato "Cedula de Bienes Patrimoniales", con sus respectivas actualizaciones, misma que deberá integrarse en el disco No. 2 del informe mensual. </w:t>
      </w:r>
    </w:p>
    <w:p w:rsidR="00A77572" w:rsidRPr="00AA4D94" w:rsidRDefault="00A77572" w:rsidP="0029375A">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A nivel municipal el responsable de elaborar el inventario general de bienes, es el secretario del Ayuntamiento con la intervención del síndico municipal y la participación del contralor, quienes previamente realizarán una revisión física de todos los bienes, al concluirlo deberán asentar sus firmas junto con la del presidente y tesorero municipal, la elaboración de este inventario se realizara dos veces al año, el primero a más tardar el último día hábil del mes de junio, el segundo el último día hábil del mes de diciembre.</w:t>
      </w:r>
    </w:p>
    <w:p w:rsidR="00A77572" w:rsidRPr="00AA4D94" w:rsidRDefault="005A055C" w:rsidP="0029375A">
      <w:pPr>
        <w:autoSpaceDE w:val="0"/>
        <w:autoSpaceDN w:val="0"/>
        <w:adjustRightInd w:val="0"/>
        <w:spacing w:before="120" w:after="120"/>
        <w:ind w:left="709" w:right="709"/>
        <w:jc w:val="both"/>
        <w:rPr>
          <w:rFonts w:ascii="Palatino Linotype" w:hAnsi="Palatino Linotype"/>
          <w:i/>
          <w:sz w:val="22"/>
        </w:rPr>
      </w:pPr>
      <w:r w:rsidRPr="00AA4D94">
        <w:rPr>
          <w:rFonts w:ascii="Palatino Linotype" w:hAnsi="Palatino Linotype"/>
          <w:i/>
          <w:sz w:val="22"/>
        </w:rPr>
        <w:t>[…]</w:t>
      </w:r>
    </w:p>
    <w:p w:rsidR="00A77572" w:rsidRPr="00AA4D94" w:rsidRDefault="00A77572" w:rsidP="0029375A">
      <w:pPr>
        <w:autoSpaceDE w:val="0"/>
        <w:autoSpaceDN w:val="0"/>
        <w:adjustRightInd w:val="0"/>
        <w:spacing w:before="120" w:after="120"/>
        <w:ind w:left="709" w:right="709"/>
        <w:jc w:val="both"/>
        <w:rPr>
          <w:rFonts w:ascii="Palatino Linotype" w:hAnsi="Palatino Linotype"/>
          <w:i/>
        </w:rPr>
      </w:pPr>
      <w:r w:rsidRPr="00AA4D94">
        <w:rPr>
          <w:rFonts w:ascii="Palatino Linotype" w:hAnsi="Palatino Linotype"/>
          <w:i/>
          <w:sz w:val="22"/>
        </w:rPr>
        <w:t>Tratándose de bienes muebles adquiridos en paquete, se deberá desglosar, en la factura, el valor de cada bien, con sus características de identificación</w:t>
      </w:r>
      <w:r w:rsidR="005A055C" w:rsidRPr="00AA4D94">
        <w:rPr>
          <w:rFonts w:ascii="Palatino Linotype" w:hAnsi="Palatino Linotype"/>
          <w:i/>
          <w:sz w:val="22"/>
        </w:rPr>
        <w:t xml:space="preserve"> </w:t>
      </w:r>
      <w:r w:rsidRPr="00AA4D94">
        <w:rPr>
          <w:rFonts w:ascii="Palatino Linotype" w:hAnsi="Palatino Linotype"/>
          <w:i/>
          <w:sz w:val="22"/>
        </w:rPr>
        <w:t>…”</w:t>
      </w:r>
    </w:p>
    <w:p w:rsidR="00A77572" w:rsidRPr="00AA4D94" w:rsidRDefault="00A77572" w:rsidP="00A77572">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De la normatividad citada, se desprende que los bienes muebles son aquellos que por su naturaleza puede ser trasladado de un lugar a otro, los cuales deben estar registrados en el </w:t>
      </w:r>
      <w:r w:rsidRPr="00AA4D94">
        <w:rPr>
          <w:rFonts w:ascii="Palatino Linotype" w:hAnsi="Palatino Linotype" w:cs="Arial"/>
        </w:rPr>
        <w:t>inventario</w:t>
      </w:r>
      <w:r w:rsidRPr="00AA4D94">
        <w:rPr>
          <w:rFonts w:ascii="Palatino Linotype" w:hAnsi="Palatino Linotype"/>
        </w:rPr>
        <w:t xml:space="preserve"> general de bienes muebles con algunas características de identificación como lo son: nombre, número de inventario, marca, modelo, serie, uso, número de factura, costo, fecha de adquisición, estado de conservación; bajo los siguientes formatos:</w:t>
      </w:r>
      <w:r w:rsidR="006614E3" w:rsidRPr="00AA4D94">
        <w:rPr>
          <w:rFonts w:ascii="Palatino Linotype" w:hAnsi="Palatino Linotype"/>
        </w:rPr>
        <w:t xml:space="preserve"> </w:t>
      </w:r>
      <w:r w:rsidR="006614E3" w:rsidRPr="00AA4D94">
        <w:rPr>
          <w:rFonts w:ascii="Palatino Linotype" w:eastAsiaTheme="minorEastAsia" w:hAnsi="Palatino Linotype" w:cs="Arial"/>
        </w:rPr>
        <w:t xml:space="preserve">- - - - - - - - - - - - - - - - - - - - - - - - - - - - - - - - - - - - - - - - - - - - - - - - - - - - - - - - - - - - - - - - - - - - - - - - - - - - - - - - - - - - - - - - - - - - - - - - - - - - - - - - - - - - - - - - - - - </w:t>
      </w:r>
    </w:p>
    <w:p w:rsidR="00A77572" w:rsidRPr="00AA4D94" w:rsidRDefault="00A77572" w:rsidP="005A055C">
      <w:pPr>
        <w:spacing w:before="120" w:after="120"/>
        <w:ind w:right="51"/>
        <w:jc w:val="center"/>
        <w:rPr>
          <w:rFonts w:ascii="Palatino Linotype" w:hAnsi="Palatino Linotype"/>
        </w:rPr>
      </w:pPr>
      <w:r w:rsidRPr="00AA4D94">
        <w:rPr>
          <w:rFonts w:ascii="Palatino Linotype" w:hAnsi="Palatino Linotype"/>
          <w:noProof/>
          <w:lang w:eastAsia="es-MX"/>
        </w:rPr>
        <w:lastRenderedPageBreak/>
        <w:drawing>
          <wp:inline distT="0" distB="0" distL="0" distR="0" wp14:anchorId="7CE77F85" wp14:editId="5814133E">
            <wp:extent cx="5216056" cy="1504972"/>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8874" cy="1534638"/>
                    </a:xfrm>
                    <a:prstGeom prst="rect">
                      <a:avLst/>
                    </a:prstGeom>
                  </pic:spPr>
                </pic:pic>
              </a:graphicData>
            </a:graphic>
          </wp:inline>
        </w:drawing>
      </w:r>
    </w:p>
    <w:p w:rsidR="00A77572" w:rsidRPr="00AA4D94" w:rsidRDefault="00A77572" w:rsidP="005A055C">
      <w:pPr>
        <w:ind w:right="51"/>
        <w:jc w:val="center"/>
        <w:rPr>
          <w:rFonts w:ascii="Palatino Linotype" w:hAnsi="Palatino Linotype"/>
        </w:rPr>
      </w:pPr>
      <w:r w:rsidRPr="00AA4D94">
        <w:rPr>
          <w:rFonts w:ascii="Palatino Linotype" w:hAnsi="Palatino Linotype"/>
          <w:noProof/>
          <w:lang w:eastAsia="es-MX"/>
        </w:rPr>
        <w:drawing>
          <wp:inline distT="0" distB="0" distL="0" distR="0" wp14:anchorId="15330A2B" wp14:editId="6219C286">
            <wp:extent cx="4667416" cy="6069727"/>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2001" cy="6127708"/>
                    </a:xfrm>
                    <a:prstGeom prst="rect">
                      <a:avLst/>
                    </a:prstGeom>
                  </pic:spPr>
                </pic:pic>
              </a:graphicData>
            </a:graphic>
          </wp:inline>
        </w:drawing>
      </w:r>
    </w:p>
    <w:p w:rsidR="00A77572" w:rsidRPr="00AA4D94" w:rsidRDefault="00A77572" w:rsidP="00A77572">
      <w:pPr>
        <w:autoSpaceDE w:val="0"/>
        <w:autoSpaceDN w:val="0"/>
        <w:adjustRightInd w:val="0"/>
        <w:spacing w:before="360" w:after="240" w:line="360" w:lineRule="auto"/>
        <w:jc w:val="both"/>
        <w:rPr>
          <w:rFonts w:ascii="Palatino Linotype" w:hAnsi="Palatino Linotype"/>
          <w:color w:val="000000"/>
        </w:rPr>
      </w:pPr>
      <w:r w:rsidRPr="00AA4D94">
        <w:rPr>
          <w:rFonts w:ascii="Palatino Linotype" w:hAnsi="Palatino Linotype"/>
        </w:rPr>
        <w:lastRenderedPageBreak/>
        <w:t xml:space="preserve">Ello autoriza a concluir que el inventario general de bienes patrimoniales o en su caso, la cedula de bienes patrimoniales de bajo costo, también contenido en los Lineamientos en análisis, son los instrumentos que permiten llevar un control de los bienes muebles propiedad del Municipio, que debe ser actualizados dos veces al año, el primero a más tardar el último día hábil del mes de junio, el segundo el último día hábil del mes de diciembre, por lo que </w:t>
      </w:r>
      <w:r w:rsidRPr="00AA4D94">
        <w:rPr>
          <w:rFonts w:ascii="Palatino Linotype" w:hAnsi="Palatino Linotype" w:cs="Arial"/>
          <w:color w:val="222222"/>
        </w:rPr>
        <w:t>resulta</w:t>
      </w:r>
      <w:r w:rsidRPr="00AA4D94">
        <w:rPr>
          <w:rFonts w:ascii="Palatino Linotype" w:hAnsi="Palatino Linotype"/>
        </w:rPr>
        <w:t xml:space="preserve"> indubitable que el Sujeto Obligado</w:t>
      </w:r>
      <w:r w:rsidRPr="00AA4D94">
        <w:rPr>
          <w:rFonts w:ascii="Palatino Linotype" w:hAnsi="Palatino Linotype"/>
          <w:b/>
        </w:rPr>
        <w:t xml:space="preserve"> </w:t>
      </w:r>
      <w:r w:rsidRPr="00AA4D94">
        <w:rPr>
          <w:rFonts w:ascii="Palatino Linotype" w:hAnsi="Palatino Linotype"/>
        </w:rPr>
        <w:t xml:space="preserve">debe contar con los inventarios de bienes muebles de los ejercicios fiscales 2016, 2017 y el correspondiente al mes de junio de 2018, atendiendo la fecha en que fue interpuesta la solicitud de acceso a la información, sin que obste, que el particular desea conocer también, cuantas luminarias fueron sustituidas, arregladas o transformadas, por lo que conviene hacer alusión a los </w:t>
      </w:r>
      <w:r w:rsidRPr="00AA4D94">
        <w:rPr>
          <w:rFonts w:ascii="Palatino Linotype" w:hAnsi="Palatino Linotype"/>
          <w:color w:val="000000"/>
        </w:rPr>
        <w:t>Lineamientos para la integración del Informe Mensual 2018 establecidos por el OSFEM en cuyo contenido se localizan los formatos relacionados con el control de bienes muebles, como se puede observar en la siguiente captura de pantalla:</w:t>
      </w:r>
    </w:p>
    <w:p w:rsidR="00A77572" w:rsidRPr="00AA4D94" w:rsidRDefault="00A77572" w:rsidP="00A77572">
      <w:pPr>
        <w:autoSpaceDE w:val="0"/>
        <w:autoSpaceDN w:val="0"/>
        <w:adjustRightInd w:val="0"/>
        <w:spacing w:before="240" w:after="240" w:line="360" w:lineRule="auto"/>
        <w:jc w:val="both"/>
        <w:rPr>
          <w:rFonts w:ascii="Palatino Linotype" w:hAnsi="Palatino Linotype"/>
          <w:color w:val="000000"/>
        </w:rPr>
      </w:pPr>
      <w:r w:rsidRPr="00AA4D94">
        <w:rPr>
          <w:rFonts w:ascii="Palatino Linotype" w:hAnsi="Palatino Linotype"/>
          <w:noProof/>
          <w:color w:val="000000"/>
          <w:lang w:eastAsia="es-MX"/>
        </w:rPr>
        <w:drawing>
          <wp:inline distT="0" distB="0" distL="0" distR="0" wp14:anchorId="114883A5" wp14:editId="25EF192D">
            <wp:extent cx="5612130" cy="301942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19425"/>
                    </a:xfrm>
                    <a:prstGeom prst="rect">
                      <a:avLst/>
                    </a:prstGeom>
                  </pic:spPr>
                </pic:pic>
              </a:graphicData>
            </a:graphic>
          </wp:inline>
        </w:drawing>
      </w:r>
    </w:p>
    <w:p w:rsidR="00A77572" w:rsidRPr="00AA4D94" w:rsidRDefault="00A77572" w:rsidP="00A77572">
      <w:pPr>
        <w:autoSpaceDE w:val="0"/>
        <w:autoSpaceDN w:val="0"/>
        <w:adjustRightInd w:val="0"/>
        <w:spacing w:before="360" w:after="240" w:line="360" w:lineRule="auto"/>
        <w:jc w:val="both"/>
        <w:rPr>
          <w:rFonts w:ascii="Palatino Linotype" w:hAnsi="Palatino Linotype"/>
          <w:color w:val="000000"/>
        </w:rPr>
      </w:pPr>
      <w:r w:rsidRPr="00AA4D94">
        <w:rPr>
          <w:rFonts w:ascii="Palatino Linotype" w:hAnsi="Palatino Linotype"/>
          <w:color w:val="000000"/>
        </w:rPr>
        <w:lastRenderedPageBreak/>
        <w:t xml:space="preserve">Reporte que </w:t>
      </w:r>
      <w:r w:rsidR="006614E3" w:rsidRPr="00AA4D94">
        <w:rPr>
          <w:rFonts w:ascii="Palatino Linotype" w:hAnsi="Palatino Linotype"/>
          <w:b/>
          <w:color w:val="000000"/>
        </w:rPr>
        <w:t>EL SUJETO OBLIGADO</w:t>
      </w:r>
      <w:r w:rsidR="006614E3" w:rsidRPr="00AA4D94">
        <w:rPr>
          <w:rFonts w:ascii="Palatino Linotype" w:hAnsi="Palatino Linotype"/>
          <w:color w:val="000000"/>
        </w:rPr>
        <w:t xml:space="preserve"> </w:t>
      </w:r>
      <w:r w:rsidRPr="00AA4D94">
        <w:rPr>
          <w:rFonts w:ascii="Palatino Linotype" w:hAnsi="Palatino Linotype"/>
          <w:color w:val="000000"/>
        </w:rPr>
        <w:t>ha generado en el periodo solicitado por el particular, esto es, desde el 2013 hasta el primer s</w:t>
      </w:r>
      <w:r w:rsidR="0029375A" w:rsidRPr="00AA4D94">
        <w:rPr>
          <w:rFonts w:ascii="Palatino Linotype" w:hAnsi="Palatino Linotype"/>
          <w:color w:val="000000"/>
        </w:rPr>
        <w:t>emestre del 2018, según se puede</w:t>
      </w:r>
      <w:r w:rsidRPr="00AA4D94">
        <w:rPr>
          <w:rFonts w:ascii="Palatino Linotype" w:hAnsi="Palatino Linotype"/>
          <w:color w:val="000000"/>
        </w:rPr>
        <w:t xml:space="preserve"> constatar en los Lineamientos para la </w:t>
      </w:r>
      <w:r w:rsidRPr="00AA4D94">
        <w:rPr>
          <w:rFonts w:ascii="Palatino Linotype" w:hAnsi="Palatino Linotype" w:cs="Arial"/>
          <w:color w:val="222222"/>
        </w:rPr>
        <w:t>Integración</w:t>
      </w:r>
      <w:r w:rsidRPr="00AA4D94">
        <w:rPr>
          <w:rFonts w:ascii="Palatino Linotype" w:hAnsi="Palatino Linotype"/>
          <w:color w:val="000000"/>
        </w:rPr>
        <w:t xml:space="preserve"> de</w:t>
      </w:r>
      <w:r w:rsidR="0029375A" w:rsidRPr="00AA4D94">
        <w:rPr>
          <w:rFonts w:ascii="Palatino Linotype" w:hAnsi="Palatino Linotype"/>
          <w:color w:val="000000"/>
        </w:rPr>
        <w:t>l</w:t>
      </w:r>
      <w:r w:rsidRPr="00AA4D94">
        <w:rPr>
          <w:rFonts w:ascii="Palatino Linotype" w:hAnsi="Palatino Linotype"/>
          <w:color w:val="000000"/>
        </w:rPr>
        <w:t xml:space="preserve"> informe mensual respectivo.</w:t>
      </w:r>
    </w:p>
    <w:p w:rsidR="00A77572" w:rsidRPr="00AA4D94" w:rsidRDefault="00A77572" w:rsidP="00A77572">
      <w:pPr>
        <w:autoSpaceDE w:val="0"/>
        <w:autoSpaceDN w:val="0"/>
        <w:adjustRightInd w:val="0"/>
        <w:spacing w:before="360" w:after="240" w:line="360" w:lineRule="auto"/>
        <w:jc w:val="both"/>
        <w:rPr>
          <w:rFonts w:ascii="Palatino Linotype" w:hAnsi="Palatino Linotype"/>
          <w:color w:val="000000"/>
        </w:rPr>
      </w:pPr>
      <w:r w:rsidRPr="00AA4D94">
        <w:rPr>
          <w:rFonts w:ascii="Palatino Linotype" w:hAnsi="Palatino Linotype"/>
          <w:color w:val="000000"/>
        </w:rPr>
        <w:t>En consecuencia, la información solicitada podría constar de manera enunciativa más no l</w:t>
      </w:r>
      <w:r w:rsidR="006614E3" w:rsidRPr="00AA4D94">
        <w:rPr>
          <w:rFonts w:ascii="Palatino Linotype" w:hAnsi="Palatino Linotype"/>
          <w:color w:val="000000"/>
        </w:rPr>
        <w:t>imitativa, en el denominados “cé</w:t>
      </w:r>
      <w:r w:rsidRPr="00AA4D94">
        <w:rPr>
          <w:rFonts w:ascii="Palatino Linotype" w:hAnsi="Palatino Linotype"/>
          <w:color w:val="000000"/>
        </w:rPr>
        <w:t xml:space="preserve">dula” o “reporte” de bienes muebles patrimonial y de bajo costo, </w:t>
      </w:r>
      <w:r w:rsidRPr="00AA4D94">
        <w:rPr>
          <w:rFonts w:ascii="Palatino Linotype" w:hAnsi="Palatino Linotype" w:cs="Arial"/>
          <w:color w:val="222222"/>
        </w:rPr>
        <w:t>dependiendo</w:t>
      </w:r>
      <w:r w:rsidRPr="00AA4D94">
        <w:rPr>
          <w:rFonts w:ascii="Palatino Linotype" w:hAnsi="Palatino Linotype"/>
          <w:color w:val="000000"/>
        </w:rPr>
        <w:t xml:space="preserve"> del costo de cada equipo, aunado a que la unidad de Servicios Públicos es la responsable de organizar, supervisar y controlar los trabajos de aplicación o sustitución de alumbrado público en las calles, avenidas, plazas, jardines y lugares públicos en territorio municipal, en consecuencia el Sujeto Obligado</w:t>
      </w:r>
      <w:r w:rsidRPr="00AA4D94">
        <w:rPr>
          <w:rFonts w:ascii="Palatino Linotype" w:hAnsi="Palatino Linotype"/>
          <w:b/>
          <w:color w:val="000000"/>
        </w:rPr>
        <w:t xml:space="preserve"> </w:t>
      </w:r>
      <w:r w:rsidRPr="00AA4D94">
        <w:rPr>
          <w:rFonts w:ascii="Palatino Linotype" w:hAnsi="Palatino Linotype"/>
          <w:color w:val="000000"/>
        </w:rPr>
        <w:t>deberá atender los requerimientos de información, al mayor grado de desagregación posible, en el entendido de que no está obligados a generar documentos ad hoc para satisfacer las solicitudes de los gobernados.</w:t>
      </w:r>
    </w:p>
    <w:p w:rsidR="00A77572" w:rsidRPr="00AA4D94" w:rsidRDefault="00A77572" w:rsidP="00A77572">
      <w:pPr>
        <w:autoSpaceDE w:val="0"/>
        <w:autoSpaceDN w:val="0"/>
        <w:adjustRightInd w:val="0"/>
        <w:spacing w:before="360" w:after="240" w:line="360" w:lineRule="auto"/>
        <w:jc w:val="both"/>
        <w:rPr>
          <w:rFonts w:ascii="Palatino Linotype" w:hAnsi="Palatino Linotype"/>
          <w:color w:val="000000"/>
        </w:rPr>
      </w:pPr>
      <w:r w:rsidRPr="00AA4D94">
        <w:rPr>
          <w:rFonts w:ascii="Palatino Linotype" w:hAnsi="Palatino Linotype"/>
          <w:color w:val="000000"/>
        </w:rPr>
        <w:t>En otro aspecto, de los requerimientos en análisis, se advierte que el particular solicitó el “Registro Permanente de Usuario” asignado al servicio de alumbrado público, asignado tanto al servicio estimado como al servicio medido.</w:t>
      </w:r>
    </w:p>
    <w:p w:rsidR="00A77572" w:rsidRPr="00AA4D94" w:rsidRDefault="00A77572" w:rsidP="00A77572">
      <w:pPr>
        <w:autoSpaceDE w:val="0"/>
        <w:autoSpaceDN w:val="0"/>
        <w:adjustRightInd w:val="0"/>
        <w:spacing w:before="360" w:after="240" w:line="360" w:lineRule="auto"/>
        <w:jc w:val="both"/>
        <w:rPr>
          <w:rFonts w:ascii="Palatino Linotype" w:hAnsi="Palatino Linotype"/>
          <w:color w:val="000000"/>
        </w:rPr>
      </w:pPr>
      <w:r w:rsidRPr="00AA4D94">
        <w:rPr>
          <w:rFonts w:ascii="Palatino Linotype" w:hAnsi="Palatino Linotype"/>
          <w:color w:val="000000"/>
        </w:rPr>
        <w:t>Termino que se</w:t>
      </w:r>
      <w:r w:rsidRPr="00AA4D94">
        <w:rPr>
          <w:rFonts w:ascii="Palatino Linotype" w:hAnsi="Palatino Linotype"/>
        </w:rPr>
        <w:t xml:space="preserve"> </w:t>
      </w:r>
      <w:r w:rsidRPr="00AA4D94">
        <w:rPr>
          <w:rFonts w:ascii="Palatino Linotype" w:hAnsi="Palatino Linotype" w:cs="Arial"/>
          <w:color w:val="222222"/>
        </w:rPr>
        <w:t>encuentra</w:t>
      </w:r>
      <w:r w:rsidRPr="00AA4D94">
        <w:rPr>
          <w:rFonts w:ascii="Palatino Linotype" w:hAnsi="Palatino Linotype"/>
        </w:rPr>
        <w:t xml:space="preserve"> </w:t>
      </w:r>
      <w:r w:rsidRPr="00AA4D94">
        <w:rPr>
          <w:rFonts w:ascii="Palatino Linotype" w:hAnsi="Palatino Linotype"/>
          <w:color w:val="000000"/>
        </w:rPr>
        <w:t>reconocido en el Acuerdo Número A/031/2016, como el número único de identificación que equivale al número de servicio, según se puede leer enseguida:</w:t>
      </w:r>
    </w:p>
    <w:p w:rsidR="00A77572" w:rsidRPr="00AA4D94" w:rsidRDefault="00A77572" w:rsidP="0029375A">
      <w:pPr>
        <w:autoSpaceDE w:val="0"/>
        <w:autoSpaceDN w:val="0"/>
        <w:adjustRightInd w:val="0"/>
        <w:spacing w:before="120" w:after="120"/>
        <w:ind w:left="709" w:right="709"/>
        <w:jc w:val="both"/>
        <w:rPr>
          <w:rFonts w:ascii="Palatino Linotype" w:hAnsi="Palatino Linotype"/>
          <w:i/>
          <w:sz w:val="22"/>
          <w:szCs w:val="22"/>
        </w:rPr>
      </w:pPr>
      <w:r w:rsidRPr="00AA4D94">
        <w:rPr>
          <w:rFonts w:ascii="Palatino Linotype" w:hAnsi="Palatino Linotype" w:cs="Arial"/>
          <w:bCs/>
          <w:i/>
          <w:caps/>
          <w:color w:val="2F2F2F"/>
          <w:sz w:val="22"/>
          <w:szCs w:val="22"/>
          <w:shd w:val="clear" w:color="auto" w:fill="FFFFFF"/>
        </w:rPr>
        <w:t>“</w:t>
      </w:r>
      <w:r w:rsidRPr="00AA4D94">
        <w:rPr>
          <w:rFonts w:ascii="Palatino Linotype" w:hAnsi="Palatino Linotype" w:cs="Arial"/>
          <w:b/>
          <w:bCs/>
          <w:i/>
          <w:caps/>
          <w:color w:val="2F2F2F"/>
          <w:sz w:val="22"/>
          <w:szCs w:val="22"/>
          <w:shd w:val="clear" w:color="auto" w:fill="FFFFFF"/>
        </w:rPr>
        <w:t>OCTAVO.</w:t>
      </w:r>
      <w:r w:rsidR="0029375A" w:rsidRPr="00AA4D94">
        <w:rPr>
          <w:rFonts w:ascii="Palatino Linotype" w:hAnsi="Palatino Linotype" w:cs="Arial"/>
          <w:b/>
          <w:bCs/>
          <w:i/>
          <w:caps/>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 xml:space="preserve">Que por su parte, la disposición Octava, fracción II, numeral 2., de las Disposiciones Administrativas detalla los datos del centro de carga a inscribir que el solicitante debe presentar a la </w:t>
      </w:r>
      <w:r w:rsidRPr="00AA4D94">
        <w:rPr>
          <w:rFonts w:ascii="Palatino Linotype" w:hAnsi="Palatino Linotype"/>
          <w:i/>
          <w:sz w:val="22"/>
          <w:szCs w:val="22"/>
        </w:rPr>
        <w:t>Comisión</w:t>
      </w:r>
      <w:r w:rsidRPr="00AA4D94">
        <w:rPr>
          <w:rFonts w:ascii="Palatino Linotype" w:hAnsi="Palatino Linotype" w:cs="Arial"/>
          <w:i/>
          <w:color w:val="2F2F2F"/>
          <w:sz w:val="22"/>
          <w:szCs w:val="22"/>
          <w:shd w:val="clear" w:color="auto" w:fill="FFFFFF"/>
        </w:rPr>
        <w:t xml:space="preserve">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w:t>
      </w:r>
      <w:r w:rsidRPr="00AA4D94">
        <w:rPr>
          <w:rFonts w:ascii="Palatino Linotype" w:hAnsi="Palatino Linotype" w:cs="Arial"/>
          <w:i/>
          <w:color w:val="2F2F2F"/>
          <w:sz w:val="22"/>
          <w:szCs w:val="22"/>
          <w:shd w:val="clear" w:color="auto" w:fill="FFFFFF"/>
        </w:rPr>
        <w:lastRenderedPageBreak/>
        <w:t>de identificación equivale al número de servicio, también llamado registro permanente de usuario (RPU).”</w:t>
      </w:r>
    </w:p>
    <w:p w:rsidR="00A77572" w:rsidRPr="00AA4D94" w:rsidRDefault="00A77572" w:rsidP="00A77572">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w:t>
      </w:r>
      <w:r w:rsidRPr="00AA4D94">
        <w:rPr>
          <w:rFonts w:ascii="Palatino Linotype" w:hAnsi="Palatino Linotype" w:cs="Arial"/>
          <w:color w:val="222222"/>
        </w:rPr>
        <w:t>Recurso</w:t>
      </w:r>
      <w:r w:rsidRPr="00AA4D94">
        <w:rPr>
          <w:rFonts w:ascii="Palatino Linotype" w:hAnsi="Palatino Linotype"/>
        </w:rPr>
        <w:t>, el cual es asignado por el Suministrador, quien deberá aplicar el formato indicado en los Lineamientos, compuestos por 15 caracteres alfanuméricos, agrupados en cuatro campos, como se muestra a continuación:</w:t>
      </w:r>
    </w:p>
    <w:p w:rsidR="00A77572" w:rsidRPr="00AA4D94" w:rsidRDefault="00A77572" w:rsidP="00A77572">
      <w:pPr>
        <w:spacing w:before="240" w:after="240" w:line="360" w:lineRule="auto"/>
        <w:ind w:right="49"/>
        <w:jc w:val="center"/>
        <w:rPr>
          <w:rFonts w:ascii="Palatino Linotype" w:hAnsi="Palatino Linotype"/>
        </w:rPr>
      </w:pPr>
      <w:r w:rsidRPr="00AA4D94">
        <w:rPr>
          <w:rFonts w:ascii="Palatino Linotype" w:hAnsi="Palatino Linotype"/>
          <w:noProof/>
          <w:lang w:eastAsia="es-MX"/>
        </w:rPr>
        <w:drawing>
          <wp:inline distT="0" distB="0" distL="0" distR="0" wp14:anchorId="60A58AB8" wp14:editId="49C79799">
            <wp:extent cx="5454396" cy="3267986"/>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4835" cy="3286224"/>
                    </a:xfrm>
                    <a:prstGeom prst="rect">
                      <a:avLst/>
                    </a:prstGeom>
                  </pic:spPr>
                </pic:pic>
              </a:graphicData>
            </a:graphic>
          </wp:inline>
        </w:drawing>
      </w:r>
    </w:p>
    <w:p w:rsidR="00A77572" w:rsidRPr="00AA4D94" w:rsidRDefault="00A77572" w:rsidP="00A77572">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Registro Móvil de Usuario, o bien, según fue señalado por el particular en su solicitud de acceso a la información como Registro Permanente de Usuario (RPU o RPUs), se localiza en el “aviso de recibo”, como se observa en la siguiente captura de pantalla:</w:t>
      </w:r>
    </w:p>
    <w:p w:rsidR="00A77572" w:rsidRPr="00AA4D94" w:rsidRDefault="00A77572" w:rsidP="00FA47FA">
      <w:pPr>
        <w:spacing w:before="240" w:after="240" w:line="360" w:lineRule="auto"/>
        <w:ind w:right="49"/>
        <w:jc w:val="center"/>
        <w:rPr>
          <w:rFonts w:ascii="Palatino Linotype" w:hAnsi="Palatino Linotype"/>
        </w:rPr>
      </w:pPr>
      <w:r w:rsidRPr="00AA4D94">
        <w:rPr>
          <w:rFonts w:ascii="Palatino Linotype" w:hAnsi="Palatino Linotype"/>
          <w:noProof/>
          <w:lang w:eastAsia="es-MX"/>
        </w:rPr>
        <w:lastRenderedPageBreak/>
        <w:drawing>
          <wp:inline distT="0" distB="0" distL="0" distR="0" wp14:anchorId="090FB1DC" wp14:editId="3A270044">
            <wp:extent cx="5250275" cy="2428504"/>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124" cy="2439535"/>
                    </a:xfrm>
                    <a:prstGeom prst="rect">
                      <a:avLst/>
                    </a:prstGeom>
                  </pic:spPr>
                </pic:pic>
              </a:graphicData>
            </a:graphic>
          </wp:inline>
        </w:drawing>
      </w:r>
    </w:p>
    <w:p w:rsidR="00A77572" w:rsidRPr="00AA4D94" w:rsidRDefault="00A77572" w:rsidP="00A77572">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En consecuencias, resulta procedente ordenar la entrega del </w:t>
      </w:r>
      <w:r w:rsidR="009E19EA" w:rsidRPr="00AA4D94">
        <w:rPr>
          <w:rFonts w:ascii="Palatino Linotype" w:hAnsi="Palatino Linotype"/>
        </w:rPr>
        <w:t>documento el que conste el Registro Móvil de Usuario (RMU) asignado al servicio de alumbrado público, el cual,</w:t>
      </w:r>
      <w:r w:rsidRPr="00AA4D94">
        <w:rPr>
          <w:rFonts w:ascii="Palatino Linotype" w:hAnsi="Palatino Linotype"/>
        </w:rPr>
        <w:t xml:space="preserve"> de manera enunciativa es el aviso de recibo</w:t>
      </w:r>
      <w:r w:rsidR="009E19EA" w:rsidRPr="00AA4D94">
        <w:rPr>
          <w:rFonts w:ascii="Palatino Linotype" w:hAnsi="Palatino Linotype"/>
        </w:rPr>
        <w:t xml:space="preserve"> referido </w:t>
      </w:r>
      <w:r w:rsidR="009E19EA" w:rsidRPr="00AA4D94">
        <w:rPr>
          <w:rFonts w:ascii="Palatino Linotype" w:hAnsi="Palatino Linotype"/>
          <w:i/>
        </w:rPr>
        <w:t>supra</w:t>
      </w:r>
      <w:r w:rsidRPr="00AA4D94">
        <w:rPr>
          <w:rFonts w:ascii="Palatino Linotype" w:hAnsi="Palatino Linotype"/>
        </w:rPr>
        <w:t>, en el entendido que dicho registro es único para el servicio, independientemente que haya una variación entre lo estimado por el municipio y lo medido y/o facturado por la CFE.</w:t>
      </w:r>
    </w:p>
    <w:p w:rsidR="009E19EA" w:rsidRPr="00AA4D94" w:rsidRDefault="009E19EA" w:rsidP="009E19EA">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t>Cobertura y modernización del sistema de alumbrado público</w:t>
      </w:r>
    </w:p>
    <w:p w:rsidR="009E19EA" w:rsidRPr="00AA4D94" w:rsidRDefault="009E19EA" w:rsidP="009E19EA">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Bajo este rubro podemos ubicar el requerimiento d</w:t>
      </w:r>
      <w:r w:rsidR="00404B4E" w:rsidRPr="00AA4D94">
        <w:rPr>
          <w:rFonts w:ascii="Palatino Linotype" w:hAnsi="Palatino Linotype"/>
        </w:rPr>
        <w:t>e</w:t>
      </w:r>
      <w:r w:rsidR="00404B4E" w:rsidRPr="00AA4D94">
        <w:rPr>
          <w:rFonts w:ascii="Palatino Linotype" w:hAnsi="Palatino Linotype" w:cs="Arial"/>
          <w:b/>
        </w:rPr>
        <w:t xml:space="preserve"> LA RECURRENTE</w:t>
      </w:r>
      <w:r w:rsidRPr="00AA4D94">
        <w:rPr>
          <w:rFonts w:ascii="Palatino Linotype" w:hAnsi="Palatino Linotype"/>
        </w:rPr>
        <w:t xml:space="preserve">, descrito en el </w:t>
      </w:r>
      <w:r w:rsidRPr="00AA4D94">
        <w:rPr>
          <w:rFonts w:ascii="Palatino Linotype" w:hAnsi="Palatino Linotype"/>
          <w:b/>
        </w:rPr>
        <w:t>Apartado III, numeral 1 y Apartado IV, numeral 1</w:t>
      </w:r>
      <w:r w:rsidRPr="00AA4D94">
        <w:rPr>
          <w:rFonts w:ascii="Palatino Linotype" w:hAnsi="Palatino Linotype"/>
        </w:rPr>
        <w:t>.</w:t>
      </w:r>
    </w:p>
    <w:p w:rsidR="009E19EA" w:rsidRPr="00AA4D94" w:rsidRDefault="00767AF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hAnsi="Palatino Linotype" w:cs="Arial"/>
        </w:rPr>
        <w:t>Tomando como referencia lo analizado en el apartado anterior, lo solicitado se trata de</w:t>
      </w:r>
      <w:r w:rsidR="009E19EA" w:rsidRPr="00AA4D94">
        <w:rPr>
          <w:rFonts w:ascii="Palatino Linotype" w:hAnsi="Palatino Linotype" w:cs="Arial"/>
        </w:rPr>
        <w:t xml:space="preserve"> trata de ampliaciones y</w:t>
      </w:r>
      <w:r w:rsidRPr="00AA4D94">
        <w:rPr>
          <w:rFonts w:ascii="Palatino Linotype" w:hAnsi="Palatino Linotype" w:cs="Arial"/>
        </w:rPr>
        <w:t>/o</w:t>
      </w:r>
      <w:r w:rsidR="009E19EA" w:rsidRPr="00AA4D94">
        <w:rPr>
          <w:rFonts w:ascii="Palatino Linotype" w:hAnsi="Palatino Linotype" w:cs="Arial"/>
        </w:rPr>
        <w:t xml:space="preserve"> modificaciones en el sistema de alumbrado público, el cual de acuerdo con el</w:t>
      </w:r>
      <w:r w:rsidRPr="00AA4D94">
        <w:rPr>
          <w:rFonts w:ascii="Palatino Linotype" w:hAnsi="Palatino Linotype" w:cs="Arial"/>
        </w:rPr>
        <w:t xml:space="preserve"> Artículo 12.4 del Código Administrativo del Estado de México</w:t>
      </w:r>
      <w:r w:rsidR="009E19EA" w:rsidRPr="00AA4D94">
        <w:rPr>
          <w:rFonts w:ascii="Palatino Linotype" w:hAnsi="Palatino Linotype" w:cs="Arial"/>
        </w:rPr>
        <w:t>, se considera Obra Pública a todo trabajo que tenga por objeto principal construir, instalar,</w:t>
      </w:r>
      <w:r w:rsidR="009E19EA" w:rsidRPr="00AA4D94">
        <w:rPr>
          <w:rFonts w:ascii="Palatino Linotype" w:eastAsiaTheme="minorEastAsia" w:hAnsi="Palatino Linotype" w:cs="Arial"/>
        </w:rPr>
        <w:t xml:space="preserve"> ampliar, adecuar, remodelar, restaurar, conservar, mantener, modificar o demoler </w:t>
      </w:r>
      <w:r w:rsidR="009E19EA" w:rsidRPr="00AA4D94">
        <w:rPr>
          <w:rFonts w:ascii="Palatino Linotype" w:eastAsiaTheme="minorEastAsia" w:hAnsi="Palatino Linotype" w:cs="Arial"/>
        </w:rPr>
        <w:lastRenderedPageBreak/>
        <w:t xml:space="preserve">bienes inmuebles propiedad del Estado, de sus dependencias y </w:t>
      </w:r>
      <w:r w:rsidR="009E19EA" w:rsidRPr="00AA4D94">
        <w:rPr>
          <w:rFonts w:ascii="Palatino Linotype" w:hAnsi="Palatino Linotype"/>
        </w:rPr>
        <w:t>entidades</w:t>
      </w:r>
      <w:r w:rsidR="009E19EA" w:rsidRPr="00AA4D94">
        <w:rPr>
          <w:rFonts w:ascii="Palatino Linotype" w:eastAsiaTheme="minorEastAsia" w:hAnsi="Palatino Linotype" w:cs="Arial"/>
        </w:rPr>
        <w:t xml:space="preserve"> y de los municipios y sus organismos con cargo a recursos públicos estatales o municipales. </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De igual forma, quedan comprendidos dentro de la definición de Obra Pública: el</w:t>
      </w:r>
      <w:r w:rsidRPr="00AA4D94">
        <w:rPr>
          <w:rFonts w:ascii="Palatino Linotype" w:eastAsiaTheme="minorEastAsia" w:hAnsi="Palatino Linotype" w:cs="Arial"/>
          <w:i/>
        </w:rPr>
        <w:t xml:space="preserve"> </w:t>
      </w:r>
      <w:r w:rsidRPr="00AA4D94">
        <w:rPr>
          <w:rFonts w:ascii="Palatino Linotype" w:hAnsi="Palatino Linotype"/>
        </w:rPr>
        <w:t>mantenimiento</w:t>
      </w:r>
      <w:r w:rsidRPr="00AA4D94">
        <w:rPr>
          <w:rFonts w:ascii="Palatino Linotype" w:eastAsiaTheme="minorEastAsia" w:hAnsi="Palatino Linotype" w:cs="Arial"/>
        </w:rPr>
        <w:t>, restauración, desmantelamiento o remoción de bienes muebles incorporados o adheridos a un inmueble; los proyectos integrales o comúnmente denominados llave en mano, en los cuales el contratista se obliga desde el diseño de la obra hasta su terminación total, incluyéndose, cuando se requiera, la transferencia de tecnología; los trabajos de exploración, localización y perforación; mejoramiento del suelo y/o subsuelo; desmontes y extracción y aquellos similares que tengan por objeto la explotación y desarrollo de los recursos naturales que se encuentran en el suelo y/o subsuelo;  los trabajos de infraestructura agropecuaria e hidroagrícola: y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de acuerdo con el artículo 12.4 del Código Administrativo del Estado de México.</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As</w:t>
      </w:r>
      <w:r w:rsidR="00767AFA" w:rsidRPr="00AA4D94">
        <w:rPr>
          <w:rFonts w:ascii="Palatino Linotype" w:eastAsiaTheme="minorEastAsia" w:hAnsi="Palatino Linotype" w:cs="Arial"/>
        </w:rPr>
        <w:t>í,</w:t>
      </w:r>
      <w:r w:rsidR="00FA47FA" w:rsidRPr="00AA4D94">
        <w:rPr>
          <w:rFonts w:ascii="Palatino Linotype" w:eastAsiaTheme="minorEastAsia" w:hAnsi="Palatino Linotype" w:cs="Arial"/>
        </w:rPr>
        <w:t xml:space="preserve"> en términos de los</w:t>
      </w:r>
      <w:r w:rsidRPr="00AA4D94">
        <w:rPr>
          <w:rFonts w:ascii="Palatino Linotype" w:eastAsiaTheme="minorEastAsia" w:hAnsi="Palatino Linotype" w:cs="Arial"/>
        </w:rPr>
        <w:t xml:space="preserve"> </w:t>
      </w:r>
      <w:r w:rsidR="00FA47FA" w:rsidRPr="00AA4D94">
        <w:rPr>
          <w:rFonts w:ascii="Palatino Linotype" w:eastAsiaTheme="minorEastAsia" w:hAnsi="Palatino Linotype" w:cs="Arial"/>
        </w:rPr>
        <w:t xml:space="preserve">artículos 12.8 y 12.15 del Código Administrativo del Estado de México, </w:t>
      </w:r>
      <w:r w:rsidRPr="00AA4D94">
        <w:rPr>
          <w:rFonts w:ascii="Palatino Linotype" w:eastAsiaTheme="minorEastAsia" w:hAnsi="Palatino Linotype" w:cs="Arial"/>
        </w:rPr>
        <w:t xml:space="preserve">los Ayuntamientos en el ámbito de sus respectivas competencias podrán ejecutar las obras públicas y de servicios mediante contrato con terceros o por administración directa, cuando a su juicio cuenten con elementos propios y organización necesaria; igualmente y según las características, complejidad y magnitud de los trabajos formularán los programas de obra o de servicios relacionados con la </w:t>
      </w:r>
      <w:r w:rsidRPr="00AA4D94">
        <w:rPr>
          <w:rFonts w:ascii="Palatino Linotype" w:eastAsiaTheme="minorEastAsia" w:hAnsi="Palatino Linotype" w:cs="Arial"/>
        </w:rPr>
        <w:lastRenderedPageBreak/>
        <w:t>misma así como sus respectivos presupuestos, con base en las políticas, objetivos y prioridades de la planeación del desarrollo del Estado y de los municipios.</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 xml:space="preserve">En relación </w:t>
      </w:r>
      <w:r w:rsidRPr="00AA4D94">
        <w:rPr>
          <w:rFonts w:ascii="Palatino Linotype" w:hAnsi="Palatino Linotype"/>
        </w:rPr>
        <w:t>con</w:t>
      </w:r>
      <w:r w:rsidRPr="00AA4D94">
        <w:rPr>
          <w:rFonts w:ascii="Palatino Linotype" w:eastAsiaTheme="minorEastAsia" w:hAnsi="Palatino Linotype" w:cs="Arial"/>
        </w:rPr>
        <w:t xml:space="preserve"> lo anterior, el Código en cita, establece que la contratación de obras o servicios relacionados con la obra pública se adjudicará mediante licitaciones públicas, invitación restringida y adjudicación directa, tal y como se aprecia en los artículos 12.20 y 12.21 del marco normativo de referencia, que a continuación se transcriben:</w:t>
      </w:r>
    </w:p>
    <w:p w:rsidR="009E19EA" w:rsidRPr="00AA4D94" w:rsidRDefault="009E19EA" w:rsidP="00FA47FA">
      <w:pPr>
        <w:autoSpaceDE w:val="0"/>
        <w:autoSpaceDN w:val="0"/>
        <w:adjustRightInd w:val="0"/>
        <w:spacing w:before="120" w:after="12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 xml:space="preserve">Artículo 12.20.- </w:t>
      </w:r>
      <w:r w:rsidRPr="00AA4D94">
        <w:rPr>
          <w:rFonts w:ascii="Palatino Linotype" w:hAnsi="Palatino Linotype" w:cs="Arial"/>
          <w:b/>
          <w:i/>
          <w:color w:val="2F2F2F"/>
          <w:sz w:val="22"/>
          <w:szCs w:val="22"/>
          <w:u w:val="single"/>
          <w:shd w:val="clear" w:color="auto" w:fill="FFFFFF"/>
        </w:rPr>
        <w:t>Los contratos a que se refiere este Libro, se adjudicarán a través de licitaciones públicas</w:t>
      </w:r>
      <w:r w:rsidRPr="00AA4D94">
        <w:rPr>
          <w:rFonts w:ascii="Palatino Linotype" w:hAnsi="Palatino Linotype" w:cs="Arial"/>
          <w:i/>
          <w:color w:val="2F2F2F"/>
          <w:sz w:val="22"/>
          <w:szCs w:val="22"/>
          <w:shd w:val="clear" w:color="auto" w:fill="FFFFFF"/>
        </w:rPr>
        <w:t>, mediante convocatoria pública.</w:t>
      </w:r>
    </w:p>
    <w:p w:rsidR="009E19EA" w:rsidRPr="00AA4D94" w:rsidRDefault="009E19EA" w:rsidP="00FA47FA">
      <w:pPr>
        <w:autoSpaceDE w:val="0"/>
        <w:autoSpaceDN w:val="0"/>
        <w:adjustRightInd w:val="0"/>
        <w:spacing w:before="120" w:after="12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b/>
          <w:i/>
          <w:color w:val="2F2F2F"/>
          <w:sz w:val="22"/>
          <w:szCs w:val="22"/>
          <w:shd w:val="clear" w:color="auto" w:fill="FFFFFF"/>
        </w:rPr>
        <w:t>Artículo 12.21.</w:t>
      </w:r>
      <w:r w:rsidRPr="00AA4D94">
        <w:rPr>
          <w:rFonts w:ascii="Palatino Linotype" w:hAnsi="Palatino Linotype" w:cs="Arial"/>
          <w:i/>
          <w:color w:val="2F2F2F"/>
          <w:sz w:val="22"/>
          <w:szCs w:val="22"/>
          <w:shd w:val="clear" w:color="auto" w:fill="FFFFFF"/>
        </w:rPr>
        <w:t xml:space="preserve">-Las dependencias, entidades y ayuntamientos podrán adjudicar contratos para </w:t>
      </w:r>
      <w:r w:rsidRPr="00AA4D94">
        <w:rPr>
          <w:rFonts w:ascii="Palatino Linotype" w:hAnsi="Palatino Linotype" w:cs="Arial"/>
          <w:b/>
          <w:i/>
          <w:color w:val="2F2F2F"/>
          <w:sz w:val="22"/>
          <w:szCs w:val="22"/>
          <w:u w:val="single"/>
          <w:shd w:val="clear" w:color="auto" w:fill="FFFFFF"/>
        </w:rPr>
        <w:t>la ejecución de obra pública o servicios relacionados con la misma mediante las excepciones al procedimiento de licitación siguientes:</w:t>
      </w:r>
    </w:p>
    <w:p w:rsidR="009E19EA" w:rsidRPr="00AA4D94" w:rsidRDefault="009E19EA" w:rsidP="00FA47FA">
      <w:pPr>
        <w:autoSpaceDE w:val="0"/>
        <w:autoSpaceDN w:val="0"/>
        <w:adjustRightInd w:val="0"/>
        <w:spacing w:before="120" w:after="120"/>
        <w:ind w:left="709" w:right="709"/>
        <w:jc w:val="both"/>
        <w:rPr>
          <w:rFonts w:ascii="Palatino Linotype" w:hAnsi="Palatino Linotype" w:cs="Arial"/>
          <w:b/>
          <w:i/>
          <w:color w:val="2F2F2F"/>
          <w:sz w:val="22"/>
          <w:szCs w:val="22"/>
          <w:shd w:val="clear" w:color="auto" w:fill="FFFFFF"/>
        </w:rPr>
      </w:pPr>
      <w:r w:rsidRPr="00AA4D94">
        <w:rPr>
          <w:rFonts w:ascii="Palatino Linotype" w:hAnsi="Palatino Linotype" w:cs="Arial"/>
          <w:b/>
          <w:i/>
          <w:color w:val="2F2F2F"/>
          <w:sz w:val="22"/>
          <w:szCs w:val="22"/>
          <w:shd w:val="clear" w:color="auto" w:fill="FFFFFF"/>
        </w:rPr>
        <w:t>I.</w:t>
      </w:r>
      <w:r w:rsidR="00FA47FA" w:rsidRPr="00AA4D94">
        <w:rPr>
          <w:rFonts w:ascii="Palatino Linotype" w:hAnsi="Palatino Linotype" w:cs="Arial"/>
          <w:b/>
          <w:i/>
          <w:color w:val="2F2F2F"/>
          <w:sz w:val="22"/>
          <w:szCs w:val="22"/>
          <w:shd w:val="clear" w:color="auto" w:fill="FFFFFF"/>
        </w:rPr>
        <w:t xml:space="preserve"> </w:t>
      </w:r>
      <w:r w:rsidRPr="00AA4D94">
        <w:rPr>
          <w:rFonts w:ascii="Palatino Linotype" w:hAnsi="Palatino Linotype" w:cs="Arial"/>
          <w:b/>
          <w:i/>
          <w:color w:val="2F2F2F"/>
          <w:sz w:val="22"/>
          <w:szCs w:val="22"/>
          <w:u w:val="single"/>
          <w:shd w:val="clear" w:color="auto" w:fill="FFFFFF"/>
        </w:rPr>
        <w:t>Invitación restringida</w:t>
      </w:r>
      <w:r w:rsidRPr="00AA4D94">
        <w:rPr>
          <w:rFonts w:ascii="Palatino Linotype" w:hAnsi="Palatino Linotype" w:cs="Arial"/>
          <w:b/>
          <w:i/>
          <w:color w:val="2F2F2F"/>
          <w:sz w:val="22"/>
          <w:szCs w:val="22"/>
          <w:shd w:val="clear" w:color="auto" w:fill="FFFFFF"/>
        </w:rPr>
        <w:t>;</w:t>
      </w:r>
    </w:p>
    <w:p w:rsidR="009E19EA" w:rsidRPr="00AA4D94" w:rsidRDefault="009E19EA" w:rsidP="00FA47FA">
      <w:pPr>
        <w:autoSpaceDE w:val="0"/>
        <w:autoSpaceDN w:val="0"/>
        <w:adjustRightInd w:val="0"/>
        <w:spacing w:before="120" w:after="12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b/>
          <w:i/>
          <w:color w:val="2F2F2F"/>
          <w:sz w:val="22"/>
          <w:szCs w:val="22"/>
          <w:shd w:val="clear" w:color="auto" w:fill="FFFFFF"/>
        </w:rPr>
        <w:t>II.</w:t>
      </w:r>
      <w:r w:rsidR="00FA47FA" w:rsidRPr="00AA4D94">
        <w:rPr>
          <w:rFonts w:ascii="Palatino Linotype" w:hAnsi="Palatino Linotype" w:cs="Arial"/>
          <w:b/>
          <w:i/>
          <w:color w:val="2F2F2F"/>
          <w:sz w:val="22"/>
          <w:szCs w:val="22"/>
          <w:shd w:val="clear" w:color="auto" w:fill="FFFFFF"/>
        </w:rPr>
        <w:t xml:space="preserve"> </w:t>
      </w:r>
      <w:r w:rsidRPr="00AA4D94">
        <w:rPr>
          <w:rFonts w:ascii="Palatino Linotype" w:hAnsi="Palatino Linotype" w:cs="Arial"/>
          <w:b/>
          <w:i/>
          <w:color w:val="2F2F2F"/>
          <w:sz w:val="22"/>
          <w:szCs w:val="22"/>
          <w:u w:val="single"/>
          <w:shd w:val="clear" w:color="auto" w:fill="FFFFFF"/>
        </w:rPr>
        <w:t>Adjudicación directa</w:t>
      </w:r>
      <w:r w:rsidRPr="00AA4D94">
        <w:rPr>
          <w:rFonts w:ascii="Palatino Linotype" w:hAnsi="Palatino Linotype" w:cs="Arial"/>
          <w:i/>
          <w:color w:val="2F2F2F"/>
          <w:sz w:val="22"/>
          <w:szCs w:val="22"/>
          <w:shd w:val="clear" w:color="auto" w:fill="FFFFFF"/>
        </w:rPr>
        <w:t>."</w:t>
      </w:r>
    </w:p>
    <w:p w:rsidR="00FA47FA" w:rsidRPr="00AA4D94" w:rsidRDefault="00FA47FA" w:rsidP="00FA47FA">
      <w:pPr>
        <w:autoSpaceDE w:val="0"/>
        <w:autoSpaceDN w:val="0"/>
        <w:adjustRightInd w:val="0"/>
        <w:spacing w:before="200" w:after="200"/>
        <w:ind w:left="709" w:right="616"/>
        <w:jc w:val="both"/>
        <w:rPr>
          <w:rFonts w:ascii="Palatino Linotype" w:hAnsi="Palatino Linotype"/>
        </w:rPr>
      </w:pPr>
      <w:r w:rsidRPr="00AA4D94">
        <w:rPr>
          <w:rFonts w:ascii="Palatino Linotype" w:hAnsi="Palatino Linotype"/>
        </w:rPr>
        <w:t>(Énfasis añadido)</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 xml:space="preserve">Por ello, en todos los procedimientos de licitación se deberán establecer los mismos requisitos y condiciones para los participantes, debiendo los ayuntamientos proporcionar el acceso al información en igualdad de condiciones a los participantes, dichas licitaciones podrán ser de carácter nacional o internacional de acuerdo con la nacionalidad </w:t>
      </w:r>
      <w:r w:rsidRPr="00AA4D94">
        <w:rPr>
          <w:rFonts w:ascii="Palatino Linotype" w:hAnsi="Palatino Linotype"/>
        </w:rPr>
        <w:t>de</w:t>
      </w:r>
      <w:r w:rsidRPr="00AA4D94">
        <w:rPr>
          <w:rFonts w:ascii="Palatino Linotype" w:eastAsiaTheme="minorEastAsia" w:hAnsi="Palatino Linotype" w:cs="Arial"/>
        </w:rPr>
        <w:t xml:space="preserve"> los participantes y solamente podrán ser de carácter internacional cuando resulte obligatorio conforme a los tratados internacionales o el ayuntamiento considere que empresas extrajeras pudieran presentar ofertas que convengan a sus intereses.</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 xml:space="preserve">Para la realización de las licitaciones ya sea de carácter nacional o internacional, el Código en cita menciona que se deberán emitir las convocatorias públicas, las cuales </w:t>
      </w:r>
      <w:r w:rsidRPr="00AA4D94">
        <w:rPr>
          <w:rFonts w:ascii="Palatino Linotype" w:eastAsiaTheme="minorEastAsia" w:hAnsi="Palatino Linotype" w:cs="Arial"/>
        </w:rPr>
        <w:lastRenderedPageBreak/>
        <w:t>deberán divulgarse cuando menos en uno de los diarios de mayor circulación nacional, así como a través de medios electrónicos y contendrán lo siguiente:</w:t>
      </w:r>
    </w:p>
    <w:p w:rsidR="009E19EA" w:rsidRPr="00AA4D94" w:rsidRDefault="009E19E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Artículo 12.25</w:t>
      </w:r>
      <w:r w:rsidRPr="00AA4D94">
        <w:rPr>
          <w:rFonts w:ascii="Palatino Linotype" w:hAnsi="Palatino Linotype" w:cs="Arial"/>
          <w:i/>
          <w:color w:val="2F2F2F"/>
          <w:sz w:val="22"/>
          <w:szCs w:val="22"/>
          <w:shd w:val="clear" w:color="auto" w:fill="FFFFFF"/>
        </w:rPr>
        <w:t>.-</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w:t>
      </w:r>
      <w:r w:rsidR="00FA47FA" w:rsidRPr="00AA4D94">
        <w:rPr>
          <w:rFonts w:ascii="Palatino Linotype" w:hAnsi="Palatino Linotype" w:cs="Arial"/>
          <w:i/>
          <w:color w:val="2F2F2F"/>
          <w:sz w:val="22"/>
          <w:szCs w:val="22"/>
          <w:shd w:val="clear" w:color="auto" w:fill="FFFFFF"/>
        </w:rPr>
        <w:t>]</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 El nombre, denominación o razón social de la dependencia, entidad o ayuntamiento convocante;</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II. El nombre y la descripción general de la obra o del servicio y el lugar en donde se llevarán a cabo los trabajos;</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III. 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IV. El origen de los recursos para su ejecución;</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V. La forma en que los interesados deberán acreditar su existencia legal, experiencia, capacidad técnica y financiera que se requiera para participar en la licitación, de acuerdo con las características, complejidad y magnitud de los trabajos;</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VI. La indicación de los lugares, fechas, horarios y medios electrónicos en que los interesados podrán obtener las bases de la licitación y en su caso, el costo y forma de pago de las mismas;</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VII. El lugar, fecha y hora de celebración de los actos relativos a la presentación y apertura de proposiciones y a la vista al sitio de realización de los trabajos;</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VIII. Plazo de ejecución de los trabajos, indicando la fecha estimada de inicio de los mismos, así como el importe de la primera asignación, en el caso de que dicho plazo comprenda más de un ejercicio;</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IX. Los porcentajes de los anticipos que, en su caso, se otorgarán;</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X. La indicación de las personas que estén impedidas a participar, conforme con las disposiciones de este Libro;</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 xml:space="preserve">XI. La garantía que deberá otorgarse para asegurar la seriedad de la propuesta; </w:t>
      </w:r>
    </w:p>
    <w:p w:rsidR="00FA47F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XII. Los ejercicios en que deberá pagarse la obra o servicio relacionados con la misma, cuando se trate de pago diferido;</w:t>
      </w:r>
    </w:p>
    <w:p w:rsidR="009E19EA" w:rsidRPr="00AA4D94" w:rsidRDefault="00FA47FA" w:rsidP="00FA47FA">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lastRenderedPageBreak/>
        <w:t xml:space="preserve">Los demás requisitos generales que deberán cumplir los interesados, según las características, complejidad y magnitud de los trabajos </w:t>
      </w:r>
      <w:r w:rsidR="009E19EA" w:rsidRPr="00AA4D94">
        <w:rPr>
          <w:rFonts w:ascii="Palatino Linotype" w:hAnsi="Palatino Linotype" w:cs="Arial"/>
          <w:i/>
          <w:color w:val="2F2F2F"/>
          <w:sz w:val="22"/>
          <w:szCs w:val="22"/>
          <w:shd w:val="clear" w:color="auto" w:fill="FFFFFF"/>
        </w:rPr>
        <w:t>…”</w:t>
      </w:r>
    </w:p>
    <w:p w:rsidR="009E19EA" w:rsidRPr="00AA4D94" w:rsidRDefault="009E19EA" w:rsidP="00FA47F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De la misma manera, el Código de referencia establece el procedimiento a seguir para la realización de la licitación, el cual se describe en seguida: publicada la convocatoria con los elementos señalados con anterioridad, la normatividad establece que se realizará la evaluación de las proporciones únicamente cuando se cumplan con los requisitos e</w:t>
      </w:r>
      <w:r w:rsidRPr="00AA4D94">
        <w:rPr>
          <w:rFonts w:ascii="Palatino Linotype" w:hAnsi="Palatino Linotype"/>
        </w:rPr>
        <w:t>s</w:t>
      </w:r>
      <w:r w:rsidRPr="00AA4D94">
        <w:rPr>
          <w:rFonts w:ascii="Palatino Linotype" w:eastAsiaTheme="minorEastAsia" w:hAnsi="Palatino Linotype" w:cs="Arial"/>
        </w:rPr>
        <w:t>tablecidos en las bases de la licitación, una vez hecha la evaluación  de las proporciones la convocante emitirá un dictamen que servirá como base para el fallo, en el que se hará constar la reseña cronológica de los actos del procedimiento, el análisis de las proposiciones y las razones para admitirlas o desecharlas; el contrato se adjudicará de entre los licitantes, a aquel cuya propuesta cumpla con las bases de licitación y resulte idónea por asegurar las mejores condiciones disponibles en cuanto a precio, calidad, financiamiento, oportunidad y demás circunstancias pertinentes, 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w:t>
      </w:r>
    </w:p>
    <w:p w:rsidR="009E19EA" w:rsidRPr="00AA4D94" w:rsidRDefault="009E19EA" w:rsidP="00FA47FA">
      <w:pPr>
        <w:autoSpaceDE w:val="0"/>
        <w:autoSpaceDN w:val="0"/>
        <w:adjustRightInd w:val="0"/>
        <w:spacing w:before="24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Aparte de la licitación pública, el Código determina que se podrán hacer excepciones a la misma, esto es que los ayuntamientos podrán realizar procedimientos de invitación restringida y adjudicación directa, dichos procedimientos se realizaran bajo su responsabilidad y se realizará con personas que cuenten con capacidad de respuesta inmediata así como con los recursos técnicos, financieros y los demás que resulten necesarios de acuerdo con las características, complejidad y magnitud de los trabajos a ejecutar.</w:t>
      </w:r>
    </w:p>
    <w:p w:rsidR="009E19EA" w:rsidRPr="00AA4D94" w:rsidRDefault="009E19EA" w:rsidP="00FA47FA">
      <w:pPr>
        <w:autoSpaceDE w:val="0"/>
        <w:autoSpaceDN w:val="0"/>
        <w:adjustRightInd w:val="0"/>
        <w:spacing w:before="24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lastRenderedPageBreak/>
        <w:t>Una vez precisado lo anterior, se advierte que la adjudicación de una obra y los servicios relacionados con la misma obligan al Municipio a suscribir el contrato respectivo dentro de los diez días hábiles siguientes a dicha adjudicación. Tal y como se observa en el artículo 12.38 del ya referido Código Administrativo; que establece lo siguiente:</w:t>
      </w:r>
    </w:p>
    <w:p w:rsidR="009E19EA" w:rsidRPr="00AA4D94" w:rsidRDefault="009E19EA" w:rsidP="00FA47FA">
      <w:pPr>
        <w:autoSpaceDE w:val="0"/>
        <w:autoSpaceDN w:val="0"/>
        <w:adjustRightInd w:val="0"/>
        <w:spacing w:before="120" w:after="12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Artículo 12.38</w:t>
      </w:r>
      <w:r w:rsidRPr="00AA4D94">
        <w:rPr>
          <w:rFonts w:ascii="Palatino Linotype" w:hAnsi="Palatino Linotype" w:cs="Arial"/>
          <w:i/>
          <w:color w:val="2F2F2F"/>
          <w:sz w:val="22"/>
          <w:szCs w:val="22"/>
          <w:shd w:val="clear" w:color="auto" w:fill="FFFFFF"/>
        </w:rPr>
        <w:t xml:space="preserve">.-La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rsidR="009E19EA" w:rsidRPr="00AA4D94" w:rsidRDefault="009E19EA" w:rsidP="00FA47FA">
      <w:pPr>
        <w:autoSpaceDE w:val="0"/>
        <w:autoSpaceDN w:val="0"/>
        <w:adjustRightInd w:val="0"/>
        <w:spacing w:before="120" w:after="12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 xml:space="preserve">Si la dependencia, entidad o ayuntamiento no firmare el contrato dentro del plazo a que se refiere el párrafo anterior, el licitante ganador podrá exigir que se le cubran los gastos que realizo en preparar y elaborar su propuesta." </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Tal y como quedó precisado en el párrafo que antecede, los Municipios están obligados por mandato de ley a celebrar procedimientos de adjudicación para el contrato de obras públicas o servicios relacionados con la misma, por lo tanto a fin de dar claridad al Sujeto Obligado en la búsqueda de la información solicitada, se considera necesario señalar los tres tipos de contratos de obra pública y servicios relacionados con la misma, que se establecen en la legislación aplicable, los cuales consisten en</w:t>
      </w:r>
      <w:r w:rsidR="00FA47FA" w:rsidRPr="00AA4D94">
        <w:rPr>
          <w:rFonts w:ascii="Palatino Linotype" w:eastAsiaTheme="minorEastAsia" w:hAnsi="Palatino Linotype" w:cs="Arial"/>
        </w:rPr>
        <w:t xml:space="preserve"> el contrato sobre la base de precios unitarios; el contrato a precio alzado, y  contratos mixtos</w:t>
      </w:r>
      <w:r w:rsidRPr="00AA4D94">
        <w:rPr>
          <w:rFonts w:ascii="Palatino Linotype" w:eastAsiaTheme="minorEastAsia" w:hAnsi="Palatino Linotype" w:cs="Arial"/>
        </w:rPr>
        <w:t>, de conformidad con el artículo 12.42 del multicitado Código.</w:t>
      </w:r>
    </w:p>
    <w:p w:rsidR="009E19EA" w:rsidRPr="00AA4D94" w:rsidRDefault="009E19EA" w:rsidP="00EB220B">
      <w:pPr>
        <w:autoSpaceDE w:val="0"/>
        <w:autoSpaceDN w:val="0"/>
        <w:adjustRightInd w:val="0"/>
        <w:spacing w:before="240" w:after="24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Artículo 12.42.-</w:t>
      </w:r>
      <w:r w:rsidRPr="00AA4D94">
        <w:rPr>
          <w:rFonts w:ascii="Palatino Linotype" w:hAnsi="Palatino Linotype" w:cs="Arial"/>
          <w:i/>
          <w:color w:val="2F2F2F"/>
          <w:sz w:val="22"/>
          <w:szCs w:val="22"/>
          <w:shd w:val="clear" w:color="auto" w:fill="FFFFFF"/>
        </w:rPr>
        <w:t>Los contratos de obra pública o de servicios relacionados con la misma, podrán ser de tres tipos:</w:t>
      </w:r>
    </w:p>
    <w:p w:rsidR="009E19EA" w:rsidRPr="00AA4D94" w:rsidRDefault="00FA47FA" w:rsidP="00EB220B">
      <w:pPr>
        <w:autoSpaceDE w:val="0"/>
        <w:autoSpaceDN w:val="0"/>
        <w:adjustRightInd w:val="0"/>
        <w:spacing w:before="240" w:after="24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w:t>
      </w:r>
      <w:r w:rsidR="009E19EA" w:rsidRPr="00AA4D94">
        <w:rPr>
          <w:rFonts w:ascii="Palatino Linotype" w:hAnsi="Palatino Linotype" w:cs="Arial"/>
          <w:i/>
          <w:color w:val="2F2F2F"/>
          <w:sz w:val="22"/>
          <w:szCs w:val="22"/>
          <w:shd w:val="clear" w:color="auto" w:fill="FFFFFF"/>
        </w:rPr>
        <w:t>. Sobre la base de precios unitarios, en cuyo caso el pago que deba cubrirse al contratista se hará por unidad de concepto de trabajo terminado;</w:t>
      </w:r>
    </w:p>
    <w:p w:rsidR="009E19EA" w:rsidRPr="00AA4D94" w:rsidRDefault="009E19EA" w:rsidP="00EB220B">
      <w:pPr>
        <w:autoSpaceDE w:val="0"/>
        <w:autoSpaceDN w:val="0"/>
        <w:adjustRightInd w:val="0"/>
        <w:spacing w:before="240" w:after="24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II.</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A precio alzado, en cuyo caso el pago que deba cubrirse al contratista será por obra completa, desglosado en actividades principales terminadas;</w:t>
      </w:r>
    </w:p>
    <w:p w:rsidR="009E19EA" w:rsidRPr="00AA4D94" w:rsidRDefault="009E19EA" w:rsidP="00EB220B">
      <w:pPr>
        <w:autoSpaceDE w:val="0"/>
        <w:autoSpaceDN w:val="0"/>
        <w:adjustRightInd w:val="0"/>
        <w:spacing w:before="240" w:after="24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lastRenderedPageBreak/>
        <w:t>III.</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Mixtos, cuando contengan una parte de los trabajos sobre la base de precios unitarios y otra, a precio alzado ... "</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 xml:space="preserve">Ahora bien, no pasa desapercibido para este Órgano Garante que, si durante la vigencia del </w:t>
      </w:r>
      <w:r w:rsidRPr="00AA4D94">
        <w:rPr>
          <w:rFonts w:ascii="Palatino Linotype" w:hAnsi="Palatino Linotype"/>
        </w:rPr>
        <w:t>contrato</w:t>
      </w:r>
      <w:r w:rsidRPr="00AA4D94">
        <w:rPr>
          <w:rFonts w:ascii="Palatino Linotype" w:eastAsiaTheme="minorEastAsia" w:hAnsi="Palatino Linotype" w:cs="Arial"/>
        </w:rPr>
        <w:t>, hay la necesidad de modificar el monto o plazo de ejecución de los trabajos, el contratante celebrará el convenio correspondiente con las nuevas condiciones y que las modificaciones que se aprueben mediante la celebración de los convenios, se considerarán parte de los contratos, por tal motivo, de existir dichos convenios, también deben ser entregados al solicitante. Lo anterior de conformidad con los artículos 187 y 192 del Reglamento al Libro Décimo Segundo del Código Administrativo del Estado de México que establecen lo siguiente:</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Artículo 187</w:t>
      </w:r>
      <w:r w:rsidRPr="00AA4D94">
        <w:rPr>
          <w:rFonts w:ascii="Palatino Linotype" w:hAnsi="Palatino Linotype" w:cs="Arial"/>
          <w:i/>
          <w:color w:val="2F2F2F"/>
          <w:sz w:val="22"/>
          <w:szCs w:val="22"/>
          <w:shd w:val="clear" w:color="auto" w:fill="FFFFFF"/>
        </w:rPr>
        <w:t>.-Si, durante la vigencia del contrato, hay la necesidad de modificar el monto plazo de ejecución de los trabajos, el contratante celebrará el convenio correspondiente con las nuevas condiciones. El residente de obra deberá sustentarlo en un dictamen técnico que funde y motive las causas que lo originan.</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Para efectos de este Reglamento, las modificaciones que se aprueben mediante la celebración de los convenios, se considerarán parte del contrato y por lo tanto obligatorias para las partes.</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 xml:space="preserve">El conjunto de programas de ejecución que se deriven de las modificaciones, integrará el programa de ejecución convenido en el contrato, con el cual se medirá el avance en la ejecución de los trabajos. </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b/>
          <w:i/>
          <w:color w:val="2F2F2F"/>
          <w:sz w:val="22"/>
          <w:szCs w:val="22"/>
          <w:shd w:val="clear" w:color="auto" w:fill="FFFFFF"/>
        </w:rPr>
        <w:t>Artículo 192</w:t>
      </w:r>
      <w:r w:rsidRPr="00AA4D94">
        <w:rPr>
          <w:rFonts w:ascii="Palatino Linotype" w:hAnsi="Palatino Linotype" w:cs="Arial"/>
          <w:i/>
          <w:color w:val="2F2F2F"/>
          <w:sz w:val="22"/>
          <w:szCs w:val="22"/>
          <w:shd w:val="clear" w:color="auto" w:fill="FFFFFF"/>
        </w:rPr>
        <w:t>.-Los convenios deberán contener como mínimo:</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l. Identificación del tipo de convenio y de cada una de las partes contratantes y nombre, cargo y acreditación de la personalidad de los representantes;</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Il. Objeto y descripción sucinta de las modificaciones;</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III.</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Dictamen técnico y documentos que lo soporten;</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IV.</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Programa de ejecución y presupuesto mensual por concepto de obra;</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V.</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Acuerdo de las partes de que, con excepción a lo expresamente estipulado en el convenio, regirán las cláusulas del contrato original;</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lastRenderedPageBreak/>
        <w:t>VI.</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Plazo de ejecución para el convenio, cuando implique incremento al originalmente contratado, el porcentaje que representa de éste; y el nuevo programa de ejecución convenido; y</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VII.</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Cuando el convenio implique un incremento al monto, deberá contener, además:</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a.</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La autorización presupuesta/ de la Secretaría de Finanzas;</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b.</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El importe del convenio, con número y letra; el importe original contratado más el importe del convenio; y el porcentaje que representa esta suma respecto del monto original;</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c.</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La obligación del contratista de ampliar la garantía de cumplimiento en los términos establecidos para el contrato original, y</w:t>
      </w:r>
    </w:p>
    <w:p w:rsidR="009E19EA" w:rsidRPr="00AA4D94" w:rsidRDefault="009E19EA" w:rsidP="00EB220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d.</w:t>
      </w:r>
      <w:r w:rsidR="00FA47FA" w:rsidRPr="00AA4D94">
        <w:rPr>
          <w:rFonts w:ascii="Palatino Linotype" w:hAnsi="Palatino Linotype" w:cs="Arial"/>
          <w:i/>
          <w:color w:val="2F2F2F"/>
          <w:sz w:val="22"/>
          <w:szCs w:val="22"/>
          <w:shd w:val="clear" w:color="auto" w:fill="FFFFFF"/>
        </w:rPr>
        <w:t xml:space="preserve"> </w:t>
      </w:r>
      <w:r w:rsidRPr="00AA4D94">
        <w:rPr>
          <w:rFonts w:ascii="Palatino Linotype" w:hAnsi="Palatino Linotype" w:cs="Arial"/>
          <w:i/>
          <w:color w:val="2F2F2F"/>
          <w:sz w:val="22"/>
          <w:szCs w:val="22"/>
          <w:shd w:val="clear" w:color="auto" w:fill="FFFFFF"/>
        </w:rPr>
        <w:t>El catálogo de conceptos valorizado, indicando las cantidades de obra y los precios unitarios."</w:t>
      </w:r>
    </w:p>
    <w:p w:rsidR="009E19EA" w:rsidRPr="00AA4D94" w:rsidRDefault="009E19EA" w:rsidP="009E19EA">
      <w:pPr>
        <w:autoSpaceDE w:val="0"/>
        <w:autoSpaceDN w:val="0"/>
        <w:adjustRightInd w:val="0"/>
        <w:spacing w:before="360" w:after="240" w:line="360" w:lineRule="auto"/>
        <w:jc w:val="both"/>
        <w:rPr>
          <w:rFonts w:ascii="Palatino Linotype" w:eastAsiaTheme="minorEastAsia" w:hAnsi="Palatino Linotype" w:cs="Arial"/>
        </w:rPr>
      </w:pPr>
      <w:r w:rsidRPr="00AA4D94">
        <w:rPr>
          <w:rFonts w:ascii="Palatino Linotype" w:eastAsiaTheme="minorEastAsia" w:hAnsi="Palatino Linotype" w:cs="Arial"/>
        </w:rPr>
        <w:t xml:space="preserve">Atento a lo anterior, resulta claro que la información solicitada puede ser satisfecha con los expedientes de los procesos de licitación pública, invitación restringida o adjudicación directa que se hayan generado para la ampliación del sistema de alumbrado </w:t>
      </w:r>
      <w:r w:rsidRPr="00AA4D94">
        <w:rPr>
          <w:rFonts w:ascii="Palatino Linotype" w:hAnsi="Palatino Linotype"/>
        </w:rPr>
        <w:t>público</w:t>
      </w:r>
      <w:r w:rsidRPr="00AA4D94">
        <w:rPr>
          <w:rFonts w:ascii="Palatino Linotype" w:eastAsiaTheme="minorEastAsia" w:hAnsi="Palatino Linotype" w:cs="Arial"/>
        </w:rPr>
        <w:t xml:space="preserve"> y la modernización del mismo con el fin de generar eficiencia energética en los consumos; así como, por los contratos y convenios que deriven de éstos, situación que infiere que la información es generada en ejercicio de las atribuciones del Sujeto Obligado, además de ser de naturaleza pública de común, de acuerdo a lo dispuesto por el artículo 92</w:t>
      </w:r>
      <w:r w:rsidR="00FA47FA" w:rsidRPr="00AA4D94">
        <w:rPr>
          <w:rFonts w:ascii="Palatino Linotype" w:eastAsiaTheme="minorEastAsia" w:hAnsi="Palatino Linotype" w:cs="Arial"/>
        </w:rPr>
        <w:t>,</w:t>
      </w:r>
      <w:r w:rsidRPr="00AA4D94">
        <w:rPr>
          <w:rFonts w:ascii="Palatino Linotype" w:eastAsiaTheme="minorEastAsia" w:hAnsi="Palatino Linotype" w:cs="Arial"/>
        </w:rPr>
        <w:t xml:space="preserve"> fracción XXIX</w:t>
      </w:r>
      <w:r w:rsidR="00FA47FA" w:rsidRPr="00AA4D94">
        <w:rPr>
          <w:rFonts w:ascii="Palatino Linotype" w:eastAsiaTheme="minorEastAsia" w:hAnsi="Palatino Linotype" w:cs="Arial"/>
        </w:rPr>
        <w:t>,</w:t>
      </w:r>
      <w:r w:rsidRPr="00AA4D94">
        <w:rPr>
          <w:rFonts w:ascii="Palatino Linotype" w:eastAsiaTheme="minorEastAsia" w:hAnsi="Palatino Linotype" w:cs="Arial"/>
        </w:rPr>
        <w:t xml:space="preserve"> de la Ley de Transparencia y Acceso a la Información Pública del Estado de México y Municipios y que obra en sus archivos, por lo que se encuentra posibilitado a entregarla, tal y como lo señala el artículos 12 del ordenamiento legal en cita. </w:t>
      </w:r>
    </w:p>
    <w:p w:rsidR="009E19EA" w:rsidRPr="00AA4D94" w:rsidRDefault="009E19EA" w:rsidP="009E19EA">
      <w:pPr>
        <w:autoSpaceDE w:val="0"/>
        <w:autoSpaceDN w:val="0"/>
        <w:adjustRightInd w:val="0"/>
        <w:spacing w:before="360" w:after="240" w:line="360" w:lineRule="auto"/>
        <w:jc w:val="both"/>
        <w:rPr>
          <w:rFonts w:ascii="Palatino Linotype" w:hAnsi="Palatino Linotype"/>
        </w:rPr>
      </w:pPr>
      <w:r w:rsidRPr="00AA4D94">
        <w:rPr>
          <w:rFonts w:ascii="Palatino Linotype" w:eastAsiaTheme="minorEastAsia" w:hAnsi="Palatino Linotype" w:cs="Arial"/>
        </w:rPr>
        <w:t xml:space="preserve">No obstante, de ser el caso que </w:t>
      </w:r>
      <w:r w:rsidR="00FA47FA" w:rsidRPr="00AA4D94">
        <w:rPr>
          <w:rFonts w:ascii="Palatino Linotype" w:eastAsiaTheme="minorEastAsia" w:hAnsi="Palatino Linotype" w:cs="Arial"/>
          <w:b/>
        </w:rPr>
        <w:t>EL SUJETO OBLIGADO</w:t>
      </w:r>
      <w:r w:rsidR="00FA47FA" w:rsidRPr="00AA4D94">
        <w:rPr>
          <w:rFonts w:ascii="Palatino Linotype" w:eastAsiaTheme="minorEastAsia" w:hAnsi="Palatino Linotype" w:cs="Arial"/>
        </w:rPr>
        <w:t xml:space="preserve"> </w:t>
      </w:r>
      <w:r w:rsidRPr="00AA4D94">
        <w:rPr>
          <w:rFonts w:ascii="Palatino Linotype" w:eastAsiaTheme="minorEastAsia" w:hAnsi="Palatino Linotype" w:cs="Arial"/>
        </w:rPr>
        <w:t xml:space="preserve">no haya generado la información requerida en los numerales analizados, por no haberse realizado proyectos de ampliación y modernización del sistema de alumbrado público en alguno </w:t>
      </w:r>
      <w:r w:rsidRPr="00AA4D94">
        <w:rPr>
          <w:rFonts w:ascii="Palatino Linotype" w:eastAsiaTheme="minorEastAsia" w:hAnsi="Palatino Linotype" w:cs="Arial"/>
        </w:rPr>
        <w:lastRenderedPageBreak/>
        <w:t xml:space="preserve">de los años del periodo solicitado, bastará con </w:t>
      </w:r>
      <w:r w:rsidR="006614E3" w:rsidRPr="00AA4D94">
        <w:rPr>
          <w:rFonts w:ascii="Palatino Linotype" w:eastAsiaTheme="minorEastAsia" w:hAnsi="Palatino Linotype" w:cs="Arial"/>
        </w:rPr>
        <w:t xml:space="preserve">hacerlo </w:t>
      </w:r>
      <w:r w:rsidRPr="00AA4D94">
        <w:rPr>
          <w:rFonts w:ascii="Palatino Linotype" w:eastAsiaTheme="minorEastAsia" w:hAnsi="Palatino Linotype" w:cs="Arial"/>
        </w:rPr>
        <w:t xml:space="preserve">del conocimiento </w:t>
      </w:r>
      <w:r w:rsidRPr="00AA4D94">
        <w:rPr>
          <w:rFonts w:ascii="Palatino Linotype" w:hAnsi="Palatino Linotype"/>
        </w:rPr>
        <w:t>de</w:t>
      </w:r>
      <w:r w:rsidR="006614E3" w:rsidRPr="00AA4D94">
        <w:rPr>
          <w:rFonts w:ascii="Palatino Linotype" w:hAnsi="Palatino Linotype"/>
        </w:rPr>
        <w:t xml:space="preserve"> </w:t>
      </w:r>
      <w:r w:rsidR="006614E3" w:rsidRPr="00AA4D94">
        <w:rPr>
          <w:rFonts w:ascii="Palatino Linotype" w:hAnsi="Palatino Linotype"/>
          <w:b/>
        </w:rPr>
        <w:t>LA RECURRENTE</w:t>
      </w:r>
      <w:r w:rsidRPr="00AA4D94">
        <w:rPr>
          <w:rFonts w:ascii="Palatino Linotype" w:hAnsi="Palatino Linotype"/>
        </w:rPr>
        <w:t>.</w:t>
      </w:r>
    </w:p>
    <w:p w:rsidR="00FD7C9C" w:rsidRPr="00AA4D94" w:rsidRDefault="002038D0" w:rsidP="00FD7C9C">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t>Solicitudes ciudadanas de ampliación del sistema de alumbrado público</w:t>
      </w:r>
    </w:p>
    <w:p w:rsidR="00FD7C9C" w:rsidRPr="00AA4D94" w:rsidRDefault="00FD7C9C" w:rsidP="00FD7C9C">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Bajo este rubro podemos ubicar el requerimiento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 xml:space="preserve">, descrito en el </w:t>
      </w:r>
      <w:r w:rsidRPr="00AA4D94">
        <w:rPr>
          <w:rFonts w:ascii="Palatino Linotype" w:hAnsi="Palatino Linotype"/>
          <w:b/>
        </w:rPr>
        <w:t>Apartado I</w:t>
      </w:r>
      <w:r w:rsidR="00A55DB4" w:rsidRPr="00AA4D94">
        <w:rPr>
          <w:rFonts w:ascii="Palatino Linotype" w:hAnsi="Palatino Linotype"/>
          <w:b/>
        </w:rPr>
        <w:t>V</w:t>
      </w:r>
      <w:r w:rsidRPr="00AA4D94">
        <w:rPr>
          <w:rFonts w:ascii="Palatino Linotype" w:hAnsi="Palatino Linotype"/>
          <w:b/>
        </w:rPr>
        <w:t>, numeral</w:t>
      </w:r>
      <w:r w:rsidR="002038D0" w:rsidRPr="00AA4D94">
        <w:rPr>
          <w:rFonts w:ascii="Palatino Linotype" w:hAnsi="Palatino Linotype"/>
          <w:b/>
        </w:rPr>
        <w:t>es</w:t>
      </w:r>
      <w:r w:rsidRPr="00AA4D94">
        <w:rPr>
          <w:rFonts w:ascii="Palatino Linotype" w:hAnsi="Palatino Linotype"/>
          <w:b/>
        </w:rPr>
        <w:t xml:space="preserve"> 2</w:t>
      </w:r>
      <w:r w:rsidR="002038D0" w:rsidRPr="00AA4D94">
        <w:rPr>
          <w:rFonts w:ascii="Palatino Linotype" w:hAnsi="Palatino Linotype"/>
          <w:b/>
        </w:rPr>
        <w:t xml:space="preserve"> y 3</w:t>
      </w:r>
      <w:r w:rsidRPr="00AA4D94">
        <w:rPr>
          <w:rFonts w:ascii="Palatino Linotype" w:hAnsi="Palatino Linotype"/>
        </w:rPr>
        <w:t>.</w:t>
      </w:r>
    </w:p>
    <w:p w:rsidR="002038D0" w:rsidRPr="00AA4D94" w:rsidRDefault="002038D0" w:rsidP="002038D0">
      <w:pPr>
        <w:autoSpaceDE w:val="0"/>
        <w:autoSpaceDN w:val="0"/>
        <w:adjustRightInd w:val="0"/>
        <w:spacing w:before="360" w:after="240" w:line="360" w:lineRule="auto"/>
        <w:jc w:val="both"/>
        <w:rPr>
          <w:rFonts w:ascii="Palatino Linotype" w:hAnsi="Palatino Linotype"/>
        </w:rPr>
      </w:pPr>
      <w:r w:rsidRPr="00AA4D94">
        <w:rPr>
          <w:rFonts w:ascii="Palatino Linotype" w:eastAsiaTheme="minorEastAsia" w:hAnsi="Palatino Linotype" w:cs="Arial"/>
        </w:rPr>
        <w:t xml:space="preserve">Al respecto, el </w:t>
      </w:r>
      <w:r w:rsidRPr="00AA4D94">
        <w:rPr>
          <w:rFonts w:ascii="Palatino Linotype" w:eastAsiaTheme="minorEastAsia" w:hAnsi="Palatino Linotype" w:cs="Arial"/>
          <w:b/>
        </w:rPr>
        <w:t>SUJETO OBLIGADO</w:t>
      </w:r>
      <w:r w:rsidRPr="00AA4D94">
        <w:rPr>
          <w:rFonts w:ascii="Palatino Linotype" w:eastAsiaTheme="minorEastAsia" w:hAnsi="Palatino Linotype" w:cs="Arial"/>
        </w:rPr>
        <w:t xml:space="preserve"> es responsable</w:t>
      </w:r>
      <w:r w:rsidRPr="00AA4D94">
        <w:rPr>
          <w:rFonts w:ascii="Palatino Linotype" w:hAnsi="Palatino Linotype"/>
        </w:rPr>
        <w:t xml:space="preserv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2038D0" w:rsidRPr="00AA4D94" w:rsidRDefault="002038D0" w:rsidP="002038D0">
      <w:pPr>
        <w:spacing w:before="240" w:after="240" w:line="360" w:lineRule="auto"/>
        <w:ind w:right="49"/>
        <w:jc w:val="both"/>
        <w:rPr>
          <w:rFonts w:ascii="Palatino Linotype" w:hAnsi="Palatino Linotype"/>
        </w:rPr>
      </w:pPr>
      <w:r w:rsidRPr="00AA4D94">
        <w:rPr>
          <w:rFonts w:ascii="Palatino Linotype" w:hAnsi="Palatino Linotype"/>
        </w:rPr>
        <w:t>Acto que tienen como base o sustento el ejercicio de un derecho de petición, consagrado en el artículo 8 de la Constitución Política de los Estados unidos Mexicanos,</w:t>
      </w:r>
      <w:r w:rsidRPr="00AA4D94">
        <w:rPr>
          <w:rFonts w:ascii="Palatino Linotype" w:hAnsi="Palatino Linotype"/>
          <w:i/>
        </w:rPr>
        <w:t xml:space="preserve"> </w:t>
      </w:r>
      <w:r w:rsidRPr="00AA4D94">
        <w:rPr>
          <w:rFonts w:ascii="Palatino Linotype" w:hAnsi="Palatino Linotype"/>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w:t>
      </w:r>
    </w:p>
    <w:p w:rsidR="002038D0" w:rsidRPr="00AA4D94" w:rsidRDefault="002038D0"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Artículo 135</w:t>
      </w:r>
      <w:r w:rsidRPr="00AA4D94">
        <w:rPr>
          <w:rFonts w:ascii="Palatino Linotype" w:hAnsi="Palatino Linotype" w:cs="Arial"/>
          <w:i/>
          <w:color w:val="2F2F2F"/>
          <w:sz w:val="22"/>
          <w:szCs w:val="22"/>
          <w:shd w:val="clear" w:color="auto" w:fill="FFFFFF"/>
        </w:rPr>
        <w:t>.-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 …”</w:t>
      </w:r>
    </w:p>
    <w:p w:rsidR="002038D0" w:rsidRPr="00AA4D94" w:rsidRDefault="002038D0" w:rsidP="002038D0">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lastRenderedPageBreak/>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2038D0" w:rsidRPr="00AA4D94" w:rsidRDefault="002038D0" w:rsidP="002038D0">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Las cuales en todo caso, tiene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2038D0" w:rsidRPr="00AA4D94" w:rsidRDefault="002038D0"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Artículo 70</w:t>
      </w:r>
      <w:r w:rsidRPr="00AA4D94">
        <w:rPr>
          <w:rFonts w:ascii="Palatino Linotype" w:hAnsi="Palatino Linotype" w:cs="Arial"/>
          <w:i/>
          <w:color w:val="2F2F2F"/>
          <w:sz w:val="22"/>
          <w:szCs w:val="22"/>
          <w:shd w:val="clear" w:color="auto" w:fill="FFFFFF"/>
        </w:rPr>
        <w:t>.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A55DB4" w:rsidRPr="00AA4D94" w:rsidRDefault="00A55DB4"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p>
    <w:p w:rsidR="002038D0" w:rsidRPr="00AA4D94" w:rsidRDefault="002038D0"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b/>
          <w:i/>
          <w:color w:val="2F2F2F"/>
          <w:sz w:val="22"/>
          <w:szCs w:val="22"/>
          <w:shd w:val="clear" w:color="auto" w:fill="FFFFFF"/>
        </w:rPr>
        <w:t>XXX</w:t>
      </w:r>
      <w:r w:rsidRPr="00AA4D94">
        <w:rPr>
          <w:rFonts w:ascii="Palatino Linotype" w:hAnsi="Palatino Linotype" w:cs="Arial"/>
          <w:i/>
          <w:color w:val="2F2F2F"/>
          <w:sz w:val="22"/>
          <w:szCs w:val="22"/>
          <w:shd w:val="clear" w:color="auto" w:fill="FFFFFF"/>
        </w:rPr>
        <w:t>. Las estadísticas que generen en cumplimiento de sus facultades, competencias o funciones con la mayor desagregación posible.</w:t>
      </w:r>
    </w:p>
    <w:p w:rsidR="002038D0" w:rsidRPr="00AA4D94" w:rsidRDefault="002038D0"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w:t>
      </w:r>
      <w:r w:rsidRPr="00AA4D94">
        <w:rPr>
          <w:rFonts w:ascii="Palatino Linotype" w:hAnsi="Palatino Linotype" w:cs="Arial"/>
          <w:i/>
          <w:color w:val="2F2F2F"/>
          <w:sz w:val="22"/>
          <w:szCs w:val="22"/>
          <w:shd w:val="clear" w:color="auto" w:fill="FFFFFF"/>
        </w:rPr>
        <w:lastRenderedPageBreak/>
        <w:t xml:space="preserve">respectivos, los cuales deberán ofrecerse en formato abierto, de acuerdo con el concepto establecido en la Ley General, artículo 3, fracción X, que a la letra dice: </w:t>
      </w:r>
    </w:p>
    <w:p w:rsidR="002038D0" w:rsidRPr="00AA4D94" w:rsidRDefault="002038D0"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2038D0" w:rsidRPr="00AA4D94" w:rsidRDefault="002038D0"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2038D0" w:rsidRPr="00AA4D94" w:rsidRDefault="002038D0" w:rsidP="002038D0">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2038D0" w:rsidRPr="00AA4D94" w:rsidRDefault="002038D0" w:rsidP="002038D0">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Sin que </w:t>
      </w:r>
      <w:r w:rsidR="00AB6C34" w:rsidRPr="00AA4D94">
        <w:rPr>
          <w:rFonts w:ascii="Palatino Linotype" w:hAnsi="Palatino Linotype"/>
        </w:rPr>
        <w:t>sea óbice</w:t>
      </w:r>
      <w:r w:rsidRPr="00AA4D94">
        <w:rPr>
          <w:rFonts w:ascii="Palatino Linotype" w:hAnsi="Palatino Linotype"/>
        </w:rPr>
        <w:t>, que en todo caso</w:t>
      </w:r>
      <w:r w:rsidR="00AB6C34" w:rsidRPr="00AA4D94">
        <w:rPr>
          <w:rFonts w:ascii="Palatino Linotype" w:hAnsi="Palatino Linotype"/>
        </w:rPr>
        <w:t>,</w:t>
      </w:r>
      <w:r w:rsidRPr="00AA4D94">
        <w:rPr>
          <w:rFonts w:ascii="Palatino Linotype" w:hAnsi="Palatino Linotype"/>
        </w:rPr>
        <w:t xml:space="preserve"> para dar atención a las solitudes de los gobernados para atender el servicio público denominado “Alumbrado Público” deberá generar un documento que permitir registrar las solicitudes planteadas y el seguimiento dado a la mismas, en consecuencia en términos del artículo del párrafo segundo del artículo 12 de la Ley de la Materia, el Sujeto Obligado</w:t>
      </w:r>
      <w:r w:rsidRPr="00AA4D94">
        <w:rPr>
          <w:rFonts w:ascii="Palatino Linotype" w:hAnsi="Palatino Linotype"/>
          <w:b/>
        </w:rPr>
        <w:t xml:space="preserve"> </w:t>
      </w:r>
      <w:r w:rsidRPr="00AA4D94">
        <w:rPr>
          <w:rFonts w:ascii="Palatino Linotype" w:hAnsi="Palatino Linotype"/>
        </w:rPr>
        <w:t xml:space="preserve">tiene el deber de proporcionar la expresión </w:t>
      </w:r>
      <w:r w:rsidRPr="00AA4D94">
        <w:rPr>
          <w:rFonts w:ascii="Palatino Linotype" w:hAnsi="Palatino Linotype"/>
        </w:rPr>
        <w:lastRenderedPageBreak/>
        <w:t>documental en que consten el requerimiento del particular, misma que no está obligado a procesar a efectos de dar cumplimiento a lo solicitado.</w:t>
      </w:r>
    </w:p>
    <w:p w:rsidR="002038D0" w:rsidRPr="00AA4D94" w:rsidRDefault="002038D0" w:rsidP="002038D0">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Bajo dicha ordenanza, este Órgano Garante no </w:t>
      </w:r>
      <w:r w:rsidR="00A55DB4" w:rsidRPr="00AA4D94">
        <w:rPr>
          <w:rFonts w:ascii="Palatino Linotype" w:hAnsi="Palatino Linotype"/>
        </w:rPr>
        <w:t>es omiso en advertir</w:t>
      </w:r>
      <w:r w:rsidRPr="00AA4D94">
        <w:rPr>
          <w:rFonts w:ascii="Palatino Linotype" w:hAnsi="Palatino Linotype"/>
        </w:rPr>
        <w:t xml:space="preserve">, que la generación de dicha información, tienen como naturaleza el ejercicio de un derecho de petición, que puede ser o no ejercido por los particulares, dicho de otra manera, es una facultad potestativa que ejercer los particulares, por ello, para el caso de que no obre en sus archivos, </w:t>
      </w:r>
      <w:r w:rsidR="00A55DB4" w:rsidRPr="00AA4D94">
        <w:rPr>
          <w:rFonts w:ascii="Palatino Linotype" w:hAnsi="Palatino Linotype"/>
        </w:rPr>
        <w:t>bastará</w:t>
      </w:r>
      <w:r w:rsidRPr="00AA4D94">
        <w:rPr>
          <w:rFonts w:ascii="Palatino Linotype" w:hAnsi="Palatino Linotype"/>
        </w:rPr>
        <w:t xml:space="preserve"> con </w:t>
      </w:r>
      <w:r w:rsidR="00A55DB4" w:rsidRPr="00AA4D94">
        <w:rPr>
          <w:rFonts w:ascii="Palatino Linotype" w:hAnsi="Palatino Linotype"/>
        </w:rPr>
        <w:t>hacerlo del conocimiento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w:t>
      </w:r>
    </w:p>
    <w:p w:rsidR="002038D0" w:rsidRPr="00AA4D94" w:rsidRDefault="00AB6C34" w:rsidP="002038D0">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t>Contratos y convenios suscritos con la Comisión Federal de Electricidad</w:t>
      </w:r>
    </w:p>
    <w:p w:rsidR="002038D0" w:rsidRPr="00AA4D94" w:rsidRDefault="002038D0" w:rsidP="002038D0">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Bajo este rubro podemos ubicar l</w:t>
      </w:r>
      <w:r w:rsidR="00830529" w:rsidRPr="00AA4D94">
        <w:rPr>
          <w:rFonts w:ascii="Palatino Linotype" w:hAnsi="Palatino Linotype"/>
        </w:rPr>
        <w:t>os</w:t>
      </w:r>
      <w:r w:rsidRPr="00AA4D94">
        <w:rPr>
          <w:rFonts w:ascii="Palatino Linotype" w:hAnsi="Palatino Linotype"/>
        </w:rPr>
        <w:t xml:space="preserve"> requerimiento</w:t>
      </w:r>
      <w:r w:rsidR="00830529" w:rsidRPr="00AA4D94">
        <w:rPr>
          <w:rFonts w:ascii="Palatino Linotype" w:hAnsi="Palatino Linotype"/>
        </w:rPr>
        <w:t>s</w:t>
      </w:r>
      <w:r w:rsidRPr="00AA4D94">
        <w:rPr>
          <w:rFonts w:ascii="Palatino Linotype" w:hAnsi="Palatino Linotype"/>
        </w:rPr>
        <w:t xml:space="preserve">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 descrito</w:t>
      </w:r>
      <w:r w:rsidR="00830529" w:rsidRPr="00AA4D94">
        <w:rPr>
          <w:rFonts w:ascii="Palatino Linotype" w:hAnsi="Palatino Linotype"/>
        </w:rPr>
        <w:t>s</w:t>
      </w:r>
      <w:r w:rsidRPr="00AA4D94">
        <w:rPr>
          <w:rFonts w:ascii="Palatino Linotype" w:hAnsi="Palatino Linotype"/>
        </w:rPr>
        <w:t xml:space="preserve"> en el </w:t>
      </w:r>
      <w:r w:rsidR="00AB6C34" w:rsidRPr="00AA4D94">
        <w:rPr>
          <w:rFonts w:ascii="Palatino Linotype" w:hAnsi="Palatino Linotype"/>
          <w:b/>
        </w:rPr>
        <w:t>Apartado V</w:t>
      </w:r>
      <w:r w:rsidRPr="00AA4D94">
        <w:rPr>
          <w:rFonts w:ascii="Palatino Linotype" w:hAnsi="Palatino Linotype"/>
          <w:b/>
        </w:rPr>
        <w:t>, numeral</w:t>
      </w:r>
      <w:r w:rsidR="00AB6C34" w:rsidRPr="00AA4D94">
        <w:rPr>
          <w:rFonts w:ascii="Palatino Linotype" w:hAnsi="Palatino Linotype"/>
          <w:b/>
        </w:rPr>
        <w:t>es 1,</w:t>
      </w:r>
      <w:r w:rsidRPr="00AA4D94">
        <w:rPr>
          <w:rFonts w:ascii="Palatino Linotype" w:hAnsi="Palatino Linotype"/>
          <w:b/>
        </w:rPr>
        <w:t xml:space="preserve"> 2</w:t>
      </w:r>
      <w:r w:rsidR="00AB6C34" w:rsidRPr="00AA4D94">
        <w:rPr>
          <w:rFonts w:ascii="Palatino Linotype" w:hAnsi="Palatino Linotype"/>
          <w:b/>
        </w:rPr>
        <w:t xml:space="preserve"> y 3</w:t>
      </w:r>
      <w:r w:rsidRPr="00AA4D94">
        <w:rPr>
          <w:rFonts w:ascii="Palatino Linotype" w:hAnsi="Palatino Linotype"/>
        </w:rPr>
        <w:t>.</w:t>
      </w:r>
    </w:p>
    <w:p w:rsidR="00AB6C34" w:rsidRPr="00AA4D94" w:rsidRDefault="00AB5EE7"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Al respecto, debe observarse lo señalado en </w:t>
      </w:r>
      <w:r w:rsidR="00AB6C34" w:rsidRPr="00AA4D94">
        <w:rPr>
          <w:rFonts w:ascii="Palatino Linotype" w:hAnsi="Palatino Linotype"/>
        </w:rPr>
        <w:t>el artículo 115, fracción III de la Constitución Política de los Estados Unidos Mexicanos indica que los municipios tendrán a su cargo la prestación de servicios públicos, entre los que destaca el alumbrado público, el cual conforme a lo dispuesto por el artículo 31</w:t>
      </w:r>
      <w:r w:rsidRPr="00AA4D94">
        <w:rPr>
          <w:rFonts w:ascii="Palatino Linotype" w:hAnsi="Palatino Linotype"/>
        </w:rPr>
        <w:t>,</w:t>
      </w:r>
      <w:r w:rsidR="00AB6C34" w:rsidRPr="00AA4D94">
        <w:rPr>
          <w:rFonts w:ascii="Palatino Linotype" w:hAnsi="Palatino Linotype"/>
        </w:rPr>
        <w:t xml:space="preserve"> fracciones II y VII de la Ley Orgánica Municipal del Estado de México, podrá prestarse mediante convenio, contrato o concesión, como se observa a continuación:</w:t>
      </w:r>
    </w:p>
    <w:p w:rsidR="00AB6C34" w:rsidRPr="00AA4D94" w:rsidRDefault="00AB6C34" w:rsidP="00AB5EE7">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 xml:space="preserve">Artículo 31.- </w:t>
      </w:r>
      <w:r w:rsidRPr="00AA4D94">
        <w:rPr>
          <w:rFonts w:ascii="Palatino Linotype" w:hAnsi="Palatino Linotype" w:cs="Arial"/>
          <w:b/>
          <w:i/>
          <w:color w:val="2F2F2F"/>
          <w:sz w:val="22"/>
          <w:szCs w:val="22"/>
          <w:u w:val="single"/>
          <w:shd w:val="clear" w:color="auto" w:fill="FFFFFF"/>
        </w:rPr>
        <w:t>Son atribuciones de los ayuntamientos</w:t>
      </w:r>
      <w:r w:rsidRPr="00AA4D94">
        <w:rPr>
          <w:rFonts w:ascii="Palatino Linotype" w:hAnsi="Palatino Linotype" w:cs="Arial"/>
          <w:i/>
          <w:color w:val="2F2F2F"/>
          <w:sz w:val="22"/>
          <w:szCs w:val="22"/>
          <w:shd w:val="clear" w:color="auto" w:fill="FFFFFF"/>
        </w:rPr>
        <w:t>:</w:t>
      </w:r>
    </w:p>
    <w:p w:rsidR="00AB6C34" w:rsidRPr="00AA4D94" w:rsidRDefault="00AB5EE7" w:rsidP="00AB5EE7">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00AB6C34" w:rsidRPr="00AA4D94">
        <w:rPr>
          <w:rFonts w:ascii="Palatino Linotype" w:hAnsi="Palatino Linotype" w:cs="Arial"/>
          <w:i/>
          <w:color w:val="2F2F2F"/>
          <w:sz w:val="22"/>
          <w:szCs w:val="22"/>
          <w:shd w:val="clear" w:color="auto" w:fill="FFFFFF"/>
        </w:rPr>
        <w:t>…</w:t>
      </w:r>
      <w:r w:rsidRPr="00AA4D94">
        <w:rPr>
          <w:rFonts w:ascii="Palatino Linotype" w:hAnsi="Palatino Linotype" w:cs="Arial"/>
          <w:i/>
          <w:color w:val="2F2F2F"/>
          <w:sz w:val="22"/>
          <w:szCs w:val="22"/>
          <w:shd w:val="clear" w:color="auto" w:fill="FFFFFF"/>
        </w:rPr>
        <w:t>]</w:t>
      </w:r>
    </w:p>
    <w:p w:rsidR="00AB6C34" w:rsidRPr="00AA4D94" w:rsidRDefault="00AB6C34" w:rsidP="00AB5EE7">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b/>
          <w:i/>
          <w:color w:val="2F2F2F"/>
          <w:sz w:val="22"/>
          <w:szCs w:val="22"/>
          <w:shd w:val="clear" w:color="auto" w:fill="FFFFFF"/>
        </w:rPr>
        <w:t xml:space="preserve">II. </w:t>
      </w:r>
      <w:r w:rsidRPr="00AA4D94">
        <w:rPr>
          <w:rFonts w:ascii="Palatino Linotype" w:hAnsi="Palatino Linotype" w:cs="Arial"/>
          <w:b/>
          <w:i/>
          <w:color w:val="2F2F2F"/>
          <w:sz w:val="22"/>
          <w:szCs w:val="22"/>
          <w:u w:val="single"/>
          <w:shd w:val="clear" w:color="auto" w:fill="FFFFFF"/>
        </w:rPr>
        <w:t>Celebrar convenios, cuando así fuese necesario, con las autoridades estatales competentes; en relación con la prestación de los servicios públicos</w:t>
      </w:r>
      <w:r w:rsidRPr="00AA4D94">
        <w:rPr>
          <w:rFonts w:ascii="Palatino Linotype" w:hAnsi="Palatino Linotype" w:cs="Arial"/>
          <w:i/>
          <w:color w:val="2F2F2F"/>
          <w:sz w:val="22"/>
          <w:szCs w:val="22"/>
          <w:shd w:val="clear" w:color="auto" w:fill="FFFFFF"/>
        </w:rPr>
        <w:t xml:space="preserve"> a que se refiere el artículo 115, fracción III de la Constitución General, así como en lo referente a la administración de contribuciones fiscales;</w:t>
      </w:r>
    </w:p>
    <w:p w:rsidR="00AB6C34" w:rsidRPr="00AA4D94" w:rsidRDefault="00AB5EE7" w:rsidP="00AB5EE7">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00AB6C34" w:rsidRPr="00AA4D94">
        <w:rPr>
          <w:rFonts w:ascii="Palatino Linotype" w:hAnsi="Palatino Linotype" w:cs="Arial"/>
          <w:i/>
          <w:color w:val="2F2F2F"/>
          <w:sz w:val="22"/>
          <w:szCs w:val="22"/>
          <w:shd w:val="clear" w:color="auto" w:fill="FFFFFF"/>
        </w:rPr>
        <w:t>…</w:t>
      </w:r>
      <w:r w:rsidRPr="00AA4D94">
        <w:rPr>
          <w:rFonts w:ascii="Palatino Linotype" w:hAnsi="Palatino Linotype" w:cs="Arial"/>
          <w:i/>
          <w:color w:val="2F2F2F"/>
          <w:sz w:val="22"/>
          <w:szCs w:val="22"/>
          <w:shd w:val="clear" w:color="auto" w:fill="FFFFFF"/>
        </w:rPr>
        <w:t>]</w:t>
      </w:r>
    </w:p>
    <w:p w:rsidR="00AB6C34" w:rsidRPr="00AA4D94" w:rsidRDefault="00AB6C34" w:rsidP="00AB5EE7">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b/>
          <w:i/>
          <w:color w:val="2F2F2F"/>
          <w:sz w:val="22"/>
          <w:szCs w:val="22"/>
          <w:shd w:val="clear" w:color="auto" w:fill="FFFFFF"/>
        </w:rPr>
        <w:lastRenderedPageBreak/>
        <w:t xml:space="preserve">VII. </w:t>
      </w:r>
      <w:r w:rsidRPr="00AA4D94">
        <w:rPr>
          <w:rFonts w:ascii="Palatino Linotype" w:hAnsi="Palatino Linotype" w:cs="Arial"/>
          <w:b/>
          <w:i/>
          <w:color w:val="2F2F2F"/>
          <w:sz w:val="22"/>
          <w:szCs w:val="22"/>
          <w:u w:val="single"/>
          <w:shd w:val="clear" w:color="auto" w:fill="FFFFFF"/>
        </w:rPr>
        <w:t>Convenir, contratar o concesionar, en términos de ley, la ejecución de obras y la prestación de servicios públicos</w:t>
      </w:r>
      <w:r w:rsidRPr="00AA4D94">
        <w:rPr>
          <w:rFonts w:ascii="Palatino Linotype" w:hAnsi="Palatino Linotype" w:cs="Arial"/>
          <w:i/>
          <w:color w:val="2F2F2F"/>
          <w:sz w:val="22"/>
          <w:szCs w:val="22"/>
          <w:shd w:val="clear" w:color="auto" w:fill="FFFFFF"/>
        </w:rPr>
        <w:t>, con el Estado, con otros municipios de la entidad o con particulares, recabando, cuando proceda, la autorización de la Legislatura del Estado;”</w:t>
      </w:r>
    </w:p>
    <w:p w:rsidR="00AB5EE7" w:rsidRPr="00AA4D94" w:rsidRDefault="00AB5EE7" w:rsidP="00AB5EE7">
      <w:pPr>
        <w:autoSpaceDE w:val="0"/>
        <w:autoSpaceDN w:val="0"/>
        <w:adjustRightInd w:val="0"/>
        <w:spacing w:before="200" w:after="200"/>
        <w:ind w:left="709" w:right="709"/>
        <w:jc w:val="both"/>
        <w:rPr>
          <w:rFonts w:ascii="Palatino Linotype" w:hAnsi="Palatino Linotype" w:cs="Arial"/>
          <w:color w:val="2F2F2F"/>
          <w:sz w:val="22"/>
          <w:szCs w:val="22"/>
          <w:shd w:val="clear" w:color="auto" w:fill="FFFFFF"/>
        </w:rPr>
      </w:pPr>
      <w:r w:rsidRPr="00AA4D94">
        <w:rPr>
          <w:rFonts w:ascii="Palatino Linotype" w:hAnsi="Palatino Linotype" w:cs="Arial"/>
          <w:color w:val="2F2F2F"/>
          <w:sz w:val="22"/>
          <w:szCs w:val="22"/>
          <w:shd w:val="clear" w:color="auto" w:fill="FFFFFF"/>
        </w:rPr>
        <w:t>(Énfasis añadido)</w:t>
      </w:r>
    </w:p>
    <w:p w:rsidR="00AB6C34" w:rsidRPr="00AA4D94" w:rsidRDefault="00830529"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Con relación a</w:t>
      </w:r>
      <w:r w:rsidR="00AB6C34" w:rsidRPr="00AA4D94">
        <w:rPr>
          <w:rFonts w:ascii="Palatino Linotype" w:hAnsi="Palatino Linotype"/>
        </w:rPr>
        <w:t xml:space="preserve"> lo anterior, de acuerdo con</w:t>
      </w:r>
      <w:r w:rsidRPr="00AA4D94">
        <w:rPr>
          <w:rFonts w:ascii="Palatino Linotype" w:hAnsi="Palatino Linotype"/>
        </w:rPr>
        <w:t xml:space="preserve"> los artículos 2, 4 y 5 de</w:t>
      </w:r>
      <w:r w:rsidR="00AB6C34" w:rsidRPr="00AA4D94">
        <w:rPr>
          <w:rFonts w:ascii="Palatino Linotype" w:hAnsi="Palatino Linotype"/>
        </w:rPr>
        <w:t xml:space="preserve"> la Ley de la Comisión Federal de Electricidad, la CFE es una empresa productiva del Estado de propiedad exclusiva del Gobierno Federal con personalidad jurídica y patrimonio propio quien además goza de autonomía técnica, operativa y de gestión, dicha empresa tiene como como fin el desarrollo de actividades empresariales, económicas, industriales y comerciales y como objeto la prestación del servicio público de transmisión y distribución de energía eléctrica, por cuenta y orden del Estado Mexicano,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AB6C34" w:rsidRPr="00AA4D94" w:rsidRDefault="00AB6C34" w:rsidP="00830529">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w:t>
      </w:r>
      <w:r w:rsidRPr="00AA4D94">
        <w:rPr>
          <w:rFonts w:ascii="Palatino Linotype" w:hAnsi="Palatino Linotype" w:cs="Arial"/>
          <w:b/>
          <w:i/>
          <w:color w:val="2F2F2F"/>
          <w:sz w:val="22"/>
          <w:szCs w:val="22"/>
          <w:shd w:val="clear" w:color="auto" w:fill="FFFFFF"/>
        </w:rPr>
        <w:t>Artículo 7</w:t>
      </w:r>
      <w:r w:rsidRPr="00AA4D94">
        <w:rPr>
          <w:rFonts w:ascii="Palatino Linotype" w:hAnsi="Palatino Linotype" w:cs="Arial"/>
          <w:i/>
          <w:color w:val="2F2F2F"/>
          <w:sz w:val="22"/>
          <w:szCs w:val="22"/>
          <w:shd w:val="clear" w:color="auto" w:fill="FFFFFF"/>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AB6C34" w:rsidRPr="00AA4D94" w:rsidRDefault="00AB6C34" w:rsidP="00830529">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i/>
          <w:color w:val="2F2F2F"/>
          <w:sz w:val="22"/>
          <w:szCs w:val="22"/>
          <w:shd w:val="clear" w:color="auto" w:fill="FFFFFF"/>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AB6C34" w:rsidRPr="00AA4D94" w:rsidRDefault="00AB6C34" w:rsidP="00830529">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hAnsi="Palatino Linotype" w:cs="Arial"/>
          <w:b/>
          <w:i/>
          <w:color w:val="2F2F2F"/>
          <w:sz w:val="22"/>
          <w:szCs w:val="22"/>
          <w:shd w:val="clear" w:color="auto" w:fill="FFFFFF"/>
        </w:rPr>
        <w:lastRenderedPageBreak/>
        <w:t>Artículo 8</w:t>
      </w:r>
      <w:r w:rsidRPr="00AA4D94">
        <w:rPr>
          <w:rFonts w:ascii="Palatino Linotype" w:hAnsi="Palatino Linotype" w:cs="Arial"/>
          <w:i/>
          <w:color w:val="2F2F2F"/>
          <w:sz w:val="22"/>
          <w:szCs w:val="22"/>
          <w:shd w:val="clear" w:color="auto" w:fill="FFFFFF"/>
        </w:rPr>
        <w:t>.-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AB6C34" w:rsidRPr="00AA4D94" w:rsidRDefault="00AB6C34"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De la interpretación de los preceptos jurídicos citados con anterioridad, se advierte que tanto los Municipios como la Comisión Federal de Electricidad cuentan con las atribuciones y facultades suficientes para la celebración de contratos y convenios para la prestación de servicios por concepto de suministro de energía eléctrica, por lo que se considera dable ordenar la entrega del o los contratos que se hayan celebrado al trece de noviembre de dos mil dieciocho.</w:t>
      </w:r>
    </w:p>
    <w:p w:rsidR="00AB6C34" w:rsidRPr="00AA4D94" w:rsidRDefault="00AB6C34"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En cuanto al siguiente punto, relacionado con el convenio denominado “Peso por Peso”, tenemos que la Comisión Federal de Electricidad emitió las “Políticas generales para la cancelación de adeudos a cargo de terceros y a favor de la CFE”, dichas políticas fueron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rsidR="00AB6C34" w:rsidRPr="00AA4D94" w:rsidRDefault="00AB6C34"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CFE un peso para cubrir el adeudo histórico, por cada peso que paguen los municipios de la facturación </w:t>
      </w:r>
      <w:r w:rsidRPr="00AA4D94">
        <w:rPr>
          <w:rFonts w:ascii="Palatino Linotype" w:hAnsi="Palatino Linotype"/>
        </w:rPr>
        <w:lastRenderedPageBreak/>
        <w:t>normal, dichos pagos se podrán garantizar con las participaciones federales que le correspondan a cada municipio que firme el convenio.</w:t>
      </w:r>
    </w:p>
    <w:p w:rsidR="00AB6C34" w:rsidRPr="00AA4D94" w:rsidRDefault="00AB6C34"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Además, en dichos documento se establece que la aplicación de esa política ha resultado efectiva para atender la cartera vencida en entidades como el Estado de México, en donde se han firmado 196 convenios con municipios, como se muestra en el siguiente extracto:</w:t>
      </w:r>
    </w:p>
    <w:p w:rsidR="00AB6C34" w:rsidRPr="00AA4D94" w:rsidRDefault="00830529" w:rsidP="00830529">
      <w:pPr>
        <w:autoSpaceDE w:val="0"/>
        <w:autoSpaceDN w:val="0"/>
        <w:adjustRightInd w:val="0"/>
        <w:spacing w:before="240" w:after="240" w:line="360" w:lineRule="auto"/>
        <w:ind w:right="-141"/>
        <w:jc w:val="center"/>
        <w:rPr>
          <w:rFonts w:ascii="Palatino Linotype" w:hAnsi="Palatino Linotype" w:cs="Arial"/>
        </w:rPr>
      </w:pPr>
      <w:r w:rsidRPr="00AA4D94">
        <w:rPr>
          <w:noProof/>
          <w:lang w:eastAsia="es-MX"/>
        </w:rPr>
        <w:drawing>
          <wp:inline distT="0" distB="0" distL="0" distR="0" wp14:anchorId="5548EF07" wp14:editId="2C45DA07">
            <wp:extent cx="5059067" cy="2957886"/>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3976" cy="2960756"/>
                    </a:xfrm>
                    <a:prstGeom prst="rect">
                      <a:avLst/>
                    </a:prstGeom>
                  </pic:spPr>
                </pic:pic>
              </a:graphicData>
            </a:graphic>
          </wp:inline>
        </w:drawing>
      </w:r>
    </w:p>
    <w:p w:rsidR="00AB6C34" w:rsidRPr="00AA4D94" w:rsidRDefault="00AB6C34"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Por lo anterior, este Órgano Garante advierte que el Sujeto Obligado haya firmado un convenio “Peso por peso”, por lo que lo procedente será ordenar el último celebrado o el vigente a la fecha de la solicitud, en caso de localizarlo deberá entregarlo en versión pública al particular en términos del considerando siguiente, sin embargo de no haberse celebrado convenio alguno bastará que lo haga del conocimiento del particular.</w:t>
      </w:r>
    </w:p>
    <w:p w:rsidR="00AB6C34" w:rsidRPr="00AA4D94" w:rsidRDefault="00AB6C34" w:rsidP="00AB6C34">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lastRenderedPageBreak/>
        <w:t xml:space="preserve">En cuanto hace al convenio para recaudar el Derecho de Alumbrado Público “DAP”, 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w:t>
      </w:r>
      <w:r w:rsidR="00830529" w:rsidRPr="00AA4D94">
        <w:rPr>
          <w:rFonts w:ascii="Palatino Linotype" w:hAnsi="Palatino Linotype"/>
        </w:rPr>
        <w:t>a continuación</w:t>
      </w:r>
      <w:r w:rsidRPr="00AA4D94">
        <w:rPr>
          <w:rFonts w:ascii="Palatino Linotype" w:hAnsi="Palatino Linotype"/>
        </w:rPr>
        <w:t>:</w:t>
      </w:r>
    </w:p>
    <w:p w:rsidR="00AB6C34" w:rsidRPr="00AA4D94" w:rsidRDefault="00830529" w:rsidP="00830529">
      <w:pPr>
        <w:autoSpaceDE w:val="0"/>
        <w:autoSpaceDN w:val="0"/>
        <w:adjustRightInd w:val="0"/>
        <w:spacing w:before="240" w:after="240" w:line="360" w:lineRule="auto"/>
        <w:ind w:right="-141"/>
        <w:jc w:val="center"/>
        <w:rPr>
          <w:rFonts w:ascii="Palatino Linotype" w:hAnsi="Palatino Linotype" w:cs="Arial"/>
        </w:rPr>
      </w:pPr>
      <w:r w:rsidRPr="00AA4D94">
        <w:rPr>
          <w:noProof/>
          <w:lang w:eastAsia="es-MX"/>
        </w:rPr>
        <w:drawing>
          <wp:inline distT="0" distB="0" distL="0" distR="0" wp14:anchorId="4B9DBB0D" wp14:editId="7D1DC274">
            <wp:extent cx="5794603" cy="2775005"/>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7873" cy="2786149"/>
                    </a:xfrm>
                    <a:prstGeom prst="rect">
                      <a:avLst/>
                    </a:prstGeom>
                  </pic:spPr>
                </pic:pic>
              </a:graphicData>
            </a:graphic>
          </wp:inline>
        </w:drawing>
      </w:r>
    </w:p>
    <w:p w:rsidR="00AB6C34" w:rsidRPr="00AA4D94" w:rsidRDefault="00AB6C34" w:rsidP="00AB6C34">
      <w:pPr>
        <w:autoSpaceDE w:val="0"/>
        <w:autoSpaceDN w:val="0"/>
        <w:adjustRightInd w:val="0"/>
        <w:spacing w:before="360" w:after="240" w:line="360" w:lineRule="auto"/>
        <w:jc w:val="both"/>
        <w:rPr>
          <w:rFonts w:ascii="Palatino Linotype" w:hAnsi="Palatino Linotype" w:cs="Arial"/>
        </w:rPr>
      </w:pPr>
      <w:r w:rsidRPr="00AA4D94">
        <w:rPr>
          <w:rFonts w:ascii="Palatino Linotype" w:hAnsi="Palatino Linotype" w:cs="Arial"/>
        </w:rPr>
        <w:t>De la misma manera, el Código Financiero del Estado de México, contempla los derechos por servicio de alumbrado público en sus artículos 161 y 162, indicando que para la prestación de dicho servicio</w:t>
      </w:r>
      <w:r w:rsidR="00830529" w:rsidRPr="00AA4D94">
        <w:rPr>
          <w:rFonts w:ascii="Palatino Linotype" w:hAnsi="Palatino Linotype" w:cs="Arial"/>
        </w:rPr>
        <w:t xml:space="preserve"> se </w:t>
      </w:r>
      <w:r w:rsidR="00830529" w:rsidRPr="00AA4D94">
        <w:rPr>
          <w:rFonts w:ascii="Palatino Linotype" w:hAnsi="Palatino Linotype"/>
        </w:rPr>
        <w:t>pagará</w:t>
      </w:r>
      <w:r w:rsidR="00830529" w:rsidRPr="00AA4D94">
        <w:rPr>
          <w:rFonts w:ascii="Palatino Linotype" w:hAnsi="Palatino Linotype" w:cs="Arial"/>
        </w:rPr>
        <w:t xml:space="preserve"> bimestralmente el 10</w:t>
      </w:r>
      <w:r w:rsidRPr="00AA4D94">
        <w:rPr>
          <w:rFonts w:ascii="Palatino Linotype" w:hAnsi="Palatino Linotype" w:cs="Arial"/>
        </w:rPr>
        <w:t>% del cargo a cubrir por la recepción del servicio contratado cuando se apliquen tarifas 1,</w:t>
      </w:r>
      <w:r w:rsidR="00830529" w:rsidRPr="00AA4D94">
        <w:rPr>
          <w:rFonts w:ascii="Palatino Linotype" w:hAnsi="Palatino Linotype" w:cs="Arial"/>
        </w:rPr>
        <w:t xml:space="preserve"> </w:t>
      </w:r>
      <w:r w:rsidRPr="00AA4D94">
        <w:rPr>
          <w:rFonts w:ascii="Palatino Linotype" w:hAnsi="Palatino Linotype" w:cs="Arial"/>
        </w:rPr>
        <w:t xml:space="preserve">2 </w:t>
      </w:r>
      <w:r w:rsidR="00830529" w:rsidRPr="00AA4D94">
        <w:rPr>
          <w:rFonts w:ascii="Palatino Linotype" w:hAnsi="Palatino Linotype" w:cs="Arial"/>
        </w:rPr>
        <w:t xml:space="preserve">y </w:t>
      </w:r>
      <w:r w:rsidRPr="00AA4D94">
        <w:rPr>
          <w:rFonts w:ascii="Palatino Linotype" w:hAnsi="Palatino Linotype" w:cs="Arial"/>
        </w:rPr>
        <w:t xml:space="preserve">3 del acuerdo </w:t>
      </w:r>
      <w:r w:rsidRPr="00AA4D94">
        <w:rPr>
          <w:rFonts w:ascii="Palatino Linotype" w:hAnsi="Palatino Linotype" w:cs="Arial"/>
        </w:rPr>
        <w:lastRenderedPageBreak/>
        <w:t xml:space="preserve">que autoriza el ajuste de las mismas para el suministro y venta de energía, y el 2% en aquellos casos en que se apliquen las tarifas H-M u O-M y H-S o H-T, mismo que no podrá exceder 5 veces el valor diario de la unidad de </w:t>
      </w:r>
      <w:r w:rsidRPr="00AA4D94">
        <w:rPr>
          <w:rFonts w:ascii="Palatino Linotype" w:hAnsi="Palatino Linotype"/>
        </w:rPr>
        <w:t>medida</w:t>
      </w:r>
      <w:r w:rsidRPr="00AA4D94">
        <w:rPr>
          <w:rFonts w:ascii="Palatino Linotype" w:hAnsi="Palatino Linotype" w:cs="Arial"/>
        </w:rPr>
        <w:t xml:space="preserve">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w:t>
      </w:r>
      <w:r w:rsidRPr="00AA4D94">
        <w:rPr>
          <w:rFonts w:ascii="Palatino Linotype" w:hAnsi="Palatino Linotype"/>
        </w:rPr>
        <w:t>público</w:t>
      </w:r>
      <w:r w:rsidRPr="00AA4D94">
        <w:rPr>
          <w:rFonts w:ascii="Palatino Linotype" w:hAnsi="Palatino Linotype" w:cs="Arial"/>
        </w:rPr>
        <w:t xml:space="preserve"> faltantes o insuficientes. </w:t>
      </w:r>
    </w:p>
    <w:p w:rsidR="00AB6C34" w:rsidRPr="00AA4D94" w:rsidRDefault="00AB6C34" w:rsidP="00AB6C34">
      <w:pPr>
        <w:autoSpaceDE w:val="0"/>
        <w:autoSpaceDN w:val="0"/>
        <w:adjustRightInd w:val="0"/>
        <w:spacing w:before="360" w:after="240" w:line="360" w:lineRule="auto"/>
        <w:jc w:val="both"/>
        <w:rPr>
          <w:rFonts w:ascii="Palatino Linotype" w:hAnsi="Palatino Linotype" w:cs="Arial"/>
        </w:rPr>
      </w:pPr>
      <w:r w:rsidRPr="00AA4D94">
        <w:rPr>
          <w:rFonts w:ascii="Palatino Linotype" w:hAnsi="Palatino Linotype" w:cs="Arial"/>
        </w:rPr>
        <w:t>Derivado de lo anterior, se advierte que existe la posibilidad de que el municipio a través de la Comisión Federal de Electricidad haya convenido el cobro del derecho de alumbrado público, por lo que resulta procedente ordenar la entrega del último convenio celebrado que se hayan firmado con la CFE</w:t>
      </w:r>
      <w:r w:rsidR="00830529" w:rsidRPr="00AA4D94">
        <w:rPr>
          <w:rFonts w:ascii="Palatino Linotype" w:hAnsi="Palatino Linotype" w:cs="Arial"/>
        </w:rPr>
        <w:t>,</w:t>
      </w:r>
      <w:r w:rsidRPr="00AA4D94">
        <w:rPr>
          <w:rFonts w:ascii="Palatino Linotype" w:hAnsi="Palatino Linotype" w:cs="Arial"/>
        </w:rPr>
        <w:t xml:space="preserve"> así como el monto recaudado por ese derecho a través de la Comisión del </w:t>
      </w:r>
      <w:r w:rsidR="00830529" w:rsidRPr="00AA4D94">
        <w:rPr>
          <w:rFonts w:ascii="Palatino Linotype" w:hAnsi="Palatino Linotype" w:cs="Arial"/>
        </w:rPr>
        <w:t>1</w:t>
      </w:r>
      <w:r w:rsidRPr="00AA4D94">
        <w:rPr>
          <w:rFonts w:ascii="Palatino Linotype" w:hAnsi="Palatino Linotype" w:cs="Arial"/>
        </w:rPr>
        <w:t xml:space="preserve"> de enero de </w:t>
      </w:r>
      <w:r w:rsidR="00830529" w:rsidRPr="00AA4D94">
        <w:rPr>
          <w:rFonts w:ascii="Palatino Linotype" w:hAnsi="Palatino Linotype" w:cs="Arial"/>
        </w:rPr>
        <w:t>2013</w:t>
      </w:r>
      <w:r w:rsidRPr="00AA4D94">
        <w:rPr>
          <w:rFonts w:ascii="Palatino Linotype" w:hAnsi="Palatino Linotype" w:cs="Arial"/>
        </w:rPr>
        <w:t xml:space="preserve"> al </w:t>
      </w:r>
      <w:r w:rsidR="00830529" w:rsidRPr="00AA4D94">
        <w:rPr>
          <w:rFonts w:ascii="Palatino Linotype" w:hAnsi="Palatino Linotype" w:cs="Arial"/>
        </w:rPr>
        <w:t>13</w:t>
      </w:r>
      <w:r w:rsidRPr="00AA4D94">
        <w:rPr>
          <w:rFonts w:ascii="Palatino Linotype" w:hAnsi="Palatino Linotype" w:cs="Arial"/>
        </w:rPr>
        <w:t xml:space="preserve"> de noviembre de </w:t>
      </w:r>
      <w:r w:rsidR="00830529" w:rsidRPr="00AA4D94">
        <w:rPr>
          <w:rFonts w:ascii="Palatino Linotype" w:hAnsi="Palatino Linotype" w:cs="Arial"/>
        </w:rPr>
        <w:t>2018</w:t>
      </w:r>
      <w:r w:rsidRPr="00AA4D94">
        <w:rPr>
          <w:rFonts w:ascii="Palatino Linotype" w:hAnsi="Palatino Linotype" w:cs="Arial"/>
        </w:rPr>
        <w:t>.</w:t>
      </w:r>
    </w:p>
    <w:p w:rsidR="002038D0" w:rsidRPr="00AA4D94" w:rsidRDefault="00830529" w:rsidP="002038D0">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t>Juicios y controversias por el pago de Derecho de Alumbrado Público</w:t>
      </w:r>
    </w:p>
    <w:p w:rsidR="002038D0" w:rsidRPr="00AA4D94" w:rsidRDefault="002038D0" w:rsidP="002038D0">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Bajo este rubro podemos ubicar l</w:t>
      </w:r>
      <w:r w:rsidR="00830529" w:rsidRPr="00AA4D94">
        <w:rPr>
          <w:rFonts w:ascii="Palatino Linotype" w:hAnsi="Palatino Linotype"/>
        </w:rPr>
        <w:t>os</w:t>
      </w:r>
      <w:r w:rsidRPr="00AA4D94">
        <w:rPr>
          <w:rFonts w:ascii="Palatino Linotype" w:hAnsi="Palatino Linotype"/>
        </w:rPr>
        <w:t xml:space="preserve"> requerimiento</w:t>
      </w:r>
      <w:r w:rsidR="00830529" w:rsidRPr="00AA4D94">
        <w:rPr>
          <w:rFonts w:ascii="Palatino Linotype" w:hAnsi="Palatino Linotype"/>
        </w:rPr>
        <w:t>s</w:t>
      </w:r>
      <w:r w:rsidRPr="00AA4D94">
        <w:rPr>
          <w:rFonts w:ascii="Palatino Linotype" w:hAnsi="Palatino Linotype"/>
        </w:rPr>
        <w:t xml:space="preserve">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 descrito</w:t>
      </w:r>
      <w:r w:rsidR="00830529" w:rsidRPr="00AA4D94">
        <w:rPr>
          <w:rFonts w:ascii="Palatino Linotype" w:hAnsi="Palatino Linotype"/>
        </w:rPr>
        <w:t>s</w:t>
      </w:r>
      <w:r w:rsidRPr="00AA4D94">
        <w:rPr>
          <w:rFonts w:ascii="Palatino Linotype" w:hAnsi="Palatino Linotype"/>
        </w:rPr>
        <w:t xml:space="preserve"> en el </w:t>
      </w:r>
      <w:r w:rsidR="00830529" w:rsidRPr="00AA4D94">
        <w:rPr>
          <w:rFonts w:ascii="Palatino Linotype" w:hAnsi="Palatino Linotype"/>
          <w:b/>
        </w:rPr>
        <w:t>Apartado V, numerales 4 y 5</w:t>
      </w:r>
      <w:r w:rsidRPr="00AA4D94">
        <w:rPr>
          <w:rFonts w:ascii="Palatino Linotype" w:hAnsi="Palatino Linotype"/>
        </w:rPr>
        <w:t>.</w:t>
      </w:r>
    </w:p>
    <w:p w:rsidR="00830529" w:rsidRPr="00AA4D94" w:rsidRDefault="00830529"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Al respecto, el Derecho de Alumbrado Público es el pago porcentual del total de consumo de un periodo, por tener iluminadas las vialidades, plazas, monumentos, jardines y parques públicos, en donde </w:t>
      </w:r>
      <w:r w:rsidRPr="00AA4D94">
        <w:rPr>
          <w:rFonts w:ascii="Palatino Linotype" w:hAnsi="Palatino Linotype"/>
          <w:b/>
        </w:rPr>
        <w:t>actúa la CFE como</w:t>
      </w:r>
      <w:r w:rsidRPr="00AA4D94">
        <w:rPr>
          <w:rFonts w:ascii="Palatino Linotype" w:hAnsi="Palatino Linotype"/>
        </w:rPr>
        <w:t xml:space="preserve"> </w:t>
      </w:r>
      <w:r w:rsidR="00F40678" w:rsidRPr="00AA4D94">
        <w:rPr>
          <w:rFonts w:ascii="Palatino Linotype" w:hAnsi="Palatino Linotype"/>
          <w:b/>
        </w:rPr>
        <w:t>auxiliar de las autoridades municipales</w:t>
      </w:r>
      <w:r w:rsidR="00F40678" w:rsidRPr="00AA4D94">
        <w:rPr>
          <w:rFonts w:ascii="Palatino Linotype" w:hAnsi="Palatino Linotype"/>
        </w:rPr>
        <w:t>, aún sin ser considerada como autoridad responsable para efectos de la materia de Amparo,</w:t>
      </w:r>
      <w:r w:rsidRPr="00AA4D94">
        <w:rPr>
          <w:rFonts w:ascii="Palatino Linotype" w:hAnsi="Palatino Linotype"/>
        </w:rPr>
        <w:t xml:space="preserve"> en el cobro de los derechos de alumbrado público, mediante la </w:t>
      </w:r>
      <w:r w:rsidRPr="00AA4D94">
        <w:rPr>
          <w:rFonts w:ascii="Palatino Linotype" w:hAnsi="Palatino Linotype"/>
        </w:rPr>
        <w:lastRenderedPageBreak/>
        <w:t xml:space="preserve">emisión de un recibo de facturación del servicio de energía eléctrica, que se sustenta en la Ley de Ingresos Municipal previo convenio con el Ayuntamiento, </w:t>
      </w:r>
      <w:r w:rsidR="00F40678" w:rsidRPr="00AA4D94">
        <w:rPr>
          <w:rFonts w:ascii="Palatino Linotype" w:hAnsi="Palatino Linotype"/>
        </w:rPr>
        <w:t>lo que se sustenta en</w:t>
      </w:r>
      <w:r w:rsidR="00A01265" w:rsidRPr="00AA4D94">
        <w:rPr>
          <w:rFonts w:ascii="Palatino Linotype" w:hAnsi="Palatino Linotype"/>
        </w:rPr>
        <w:t xml:space="preserve"> la Jurisprudencia con número de registro </w:t>
      </w:r>
      <w:r w:rsidR="00A01265" w:rsidRPr="00AA4D94">
        <w:rPr>
          <w:rFonts w:ascii="Palatino Linotype" w:hAnsi="Palatino Linotype"/>
          <w:i/>
          <w:sz w:val="22"/>
          <w:szCs w:val="22"/>
        </w:rPr>
        <w:t>2017214</w:t>
      </w:r>
      <w:r w:rsidR="00A01265" w:rsidRPr="00AA4D94">
        <w:rPr>
          <w:rFonts w:ascii="Palatino Linotype" w:hAnsi="Palatino Linotype"/>
        </w:rPr>
        <w:t xml:space="preserve">, de la </w:t>
      </w:r>
      <w:r w:rsidR="00A01265" w:rsidRPr="00AA4D94">
        <w:rPr>
          <w:rFonts w:ascii="Palatino Linotype" w:hAnsi="Palatino Linotype"/>
          <w:i/>
          <w:sz w:val="22"/>
          <w:szCs w:val="22"/>
        </w:rPr>
        <w:t xml:space="preserve">Décima </w:t>
      </w:r>
      <w:r w:rsidR="00A01265" w:rsidRPr="00AA4D94">
        <w:rPr>
          <w:rFonts w:ascii="Palatino Linotype" w:hAnsi="Palatino Linotype"/>
        </w:rPr>
        <w:t>Época, de</w:t>
      </w:r>
      <w:r w:rsidR="00F40678" w:rsidRPr="00AA4D94">
        <w:rPr>
          <w:rFonts w:ascii="Palatino Linotype" w:hAnsi="Palatino Linotype"/>
        </w:rPr>
        <w:t xml:space="preserve"> </w:t>
      </w:r>
      <w:r w:rsidR="00A01265" w:rsidRPr="00AA4D94">
        <w:rPr>
          <w:rFonts w:ascii="Palatino Linotype" w:hAnsi="Palatino Linotype"/>
        </w:rPr>
        <w:t>l</w:t>
      </w:r>
      <w:r w:rsidR="00F40678" w:rsidRPr="00AA4D94">
        <w:rPr>
          <w:rFonts w:ascii="Palatino Linotype" w:hAnsi="Palatino Linotype"/>
        </w:rPr>
        <w:t xml:space="preserve">a Segunda Sala de la Suprema Corte de Justicia de la Nación, en contradicción de tesis, </w:t>
      </w:r>
      <w:r w:rsidR="00A01265" w:rsidRPr="00AA4D94">
        <w:rPr>
          <w:rFonts w:ascii="Palatino Linotype" w:hAnsi="Palatino Linotype"/>
        </w:rPr>
        <w:t xml:space="preserve">publicada en la página </w:t>
      </w:r>
      <w:r w:rsidR="00F40678" w:rsidRPr="00AA4D94">
        <w:rPr>
          <w:rFonts w:ascii="Palatino Linotype" w:hAnsi="Palatino Linotype"/>
          <w:i/>
          <w:sz w:val="22"/>
          <w:szCs w:val="22"/>
        </w:rPr>
        <w:t>1296</w:t>
      </w:r>
      <w:r w:rsidR="00A01265" w:rsidRPr="00AA4D94">
        <w:rPr>
          <w:rFonts w:ascii="Palatino Linotype" w:hAnsi="Palatino Linotype"/>
        </w:rPr>
        <w:t xml:space="preserve">, del </w:t>
      </w:r>
      <w:r w:rsidR="00F40678" w:rsidRPr="00AA4D94">
        <w:rPr>
          <w:rFonts w:ascii="Palatino Linotype" w:hAnsi="Palatino Linotype"/>
        </w:rPr>
        <w:t xml:space="preserve">Libro 55, </w:t>
      </w:r>
      <w:r w:rsidR="00A01265" w:rsidRPr="00AA4D94">
        <w:rPr>
          <w:rFonts w:ascii="Palatino Linotype" w:hAnsi="Palatino Linotype"/>
        </w:rPr>
        <w:t>Tomo</w:t>
      </w:r>
      <w:r w:rsidR="00F40678" w:rsidRPr="00AA4D94">
        <w:rPr>
          <w:rFonts w:ascii="Palatino Linotype" w:hAnsi="Palatino Linotype"/>
        </w:rPr>
        <w:t xml:space="preserve"> II</w:t>
      </w:r>
      <w:r w:rsidR="00A01265" w:rsidRPr="00AA4D94">
        <w:rPr>
          <w:rFonts w:ascii="Palatino Linotype" w:hAnsi="Palatino Linotype"/>
        </w:rPr>
        <w:t xml:space="preserve">, de </w:t>
      </w:r>
      <w:r w:rsidR="00F40678" w:rsidRPr="00AA4D94">
        <w:rPr>
          <w:rFonts w:ascii="Palatino Linotype" w:hAnsi="Palatino Linotype"/>
        </w:rPr>
        <w:t>junio de 2018</w:t>
      </w:r>
      <w:r w:rsidR="00A01265" w:rsidRPr="00AA4D94">
        <w:rPr>
          <w:rFonts w:ascii="Palatino Linotype" w:hAnsi="Palatino Linotype"/>
        </w:rPr>
        <w:t>, del Semanario Judicial de la Federación y su Gaceta,</w:t>
      </w:r>
      <w:r w:rsidRPr="00AA4D94">
        <w:rPr>
          <w:rFonts w:ascii="Palatino Linotype" w:hAnsi="Palatino Linotype"/>
        </w:rPr>
        <w:t xml:space="preserve"> que responde al rubro y texto siguiente:</w:t>
      </w:r>
    </w:p>
    <w:p w:rsidR="00A01265" w:rsidRPr="00AA4D94" w:rsidRDefault="00F40678" w:rsidP="00B57F4B">
      <w:pPr>
        <w:autoSpaceDE w:val="0"/>
        <w:autoSpaceDN w:val="0"/>
        <w:adjustRightInd w:val="0"/>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w:t>
      </w:r>
      <w:r w:rsidR="00A01265" w:rsidRPr="00AA4D94">
        <w:rPr>
          <w:rFonts w:ascii="Palatino Linotype" w:hAnsi="Palatino Linotype"/>
          <w:b/>
          <w:i/>
          <w:sz w:val="22"/>
          <w:szCs w:val="22"/>
          <w:u w:val="single"/>
        </w:rPr>
        <w:t>COMISIÓN FEDERAL DE ELECTRICIDAD. LA JURISPRUDENCIA 2a./J. 112/2006 SIGUE SIENDO APLICABLE A LOS ACTOS QUE REALIZA EN RELACIÓN CON LA DETERMINACIÓN Y RECAUDACIÓN DEL PAGO DE DERECHOS POR EL SERVICIO DE ALUMBRADO PÚBLICO</w:t>
      </w:r>
      <w:r w:rsidR="00A01265" w:rsidRPr="00AA4D94">
        <w:rPr>
          <w:rFonts w:ascii="Palatino Linotype" w:hAnsi="Palatino Linotype"/>
          <w:i/>
          <w:sz w:val="22"/>
          <w:szCs w:val="22"/>
        </w:rPr>
        <w:t xml:space="preserve">, CONFORME A LA LEY DE AMPARO VIGENTE A PARTIR DEL 3 DE ABRIL DE 2013. La anterior integración de la Segunda Sala de la Suprema Corte de Justicia de la Nación determinó que </w:t>
      </w:r>
      <w:r w:rsidR="00A01265" w:rsidRPr="00AA4D94">
        <w:rPr>
          <w:rFonts w:ascii="Palatino Linotype" w:hAnsi="Palatino Linotype"/>
          <w:b/>
          <w:i/>
          <w:sz w:val="22"/>
          <w:szCs w:val="22"/>
          <w:u w:val="single"/>
        </w:rPr>
        <w:t>la Comisión Federal de Electricidad</w:t>
      </w:r>
      <w:r w:rsidR="00A01265" w:rsidRPr="00AA4D94">
        <w:rPr>
          <w:rFonts w:ascii="Palatino Linotype" w:hAnsi="Palatino Linotype"/>
          <w:i/>
          <w:sz w:val="22"/>
          <w:szCs w:val="22"/>
        </w:rPr>
        <w:t xml:space="preserve"> no realiza actos de autoridad para efectos del juicio de amparo cuando </w:t>
      </w:r>
      <w:r w:rsidR="00A01265" w:rsidRPr="00AA4D94">
        <w:rPr>
          <w:rFonts w:ascii="Palatino Linotype" w:hAnsi="Palatino Linotype"/>
          <w:b/>
          <w:i/>
          <w:sz w:val="22"/>
          <w:szCs w:val="22"/>
          <w:u w:val="single"/>
        </w:rPr>
        <w:t>determina y recauda el pago de derechos por el servicio de alumbrado público, en observancia a diversas leyes locales y conforme al convenio que celebre con las autoridades de ese nivel de gobierno</w:t>
      </w:r>
      <w:r w:rsidR="00A01265" w:rsidRPr="00AA4D94">
        <w:rPr>
          <w:rFonts w:ascii="Palatino Linotype" w:hAnsi="Palatino Linotype"/>
          <w:i/>
          <w:sz w:val="22"/>
          <w:szCs w:val="22"/>
        </w:rPr>
        <w:t>. A pesar de que dicho criterio fue emitido conforme a la Ley de Amparo de 1936 abrogada, sigue siendo aplicable en términos del artículo sexto transitorio de la Ley que la sustituyó, porque a pesar de que ésta prevea la posibilidad de promover un juicio de amparo contra actos de particulares que sean equivalentes a los de autoridad, ambas legislaciones coinciden en condicionar su procedencia a la existencia de una función prevista en una norma jurídica, y cuyo efecto repercuta de manera unilateral y obligatoria en el ámbito de derechos de cierta persona. Esta situación no se actualiza cuando la Comisión Federal de Electricidad da a conocer las cantidades que el gobernado debe pagar por concepto de derechos por el servicio de alumbrado público en el aviso-recibo, pues esa facultad no implica otorgarle atribuciones para ejecutar el cobro, mismas que se reservan a las autoridades municipales.</w:t>
      </w:r>
    </w:p>
    <w:p w:rsidR="00A01265" w:rsidRPr="00AA4D94" w:rsidRDefault="00A01265" w:rsidP="00B57F4B">
      <w:pPr>
        <w:autoSpaceDE w:val="0"/>
        <w:autoSpaceDN w:val="0"/>
        <w:adjustRightInd w:val="0"/>
        <w:spacing w:before="120" w:after="120"/>
        <w:ind w:left="709" w:right="709"/>
        <w:jc w:val="both"/>
        <w:rPr>
          <w:rFonts w:ascii="Palatino Linotype" w:hAnsi="Palatino Linotype"/>
          <w:i/>
          <w:sz w:val="22"/>
          <w:szCs w:val="22"/>
        </w:rPr>
      </w:pPr>
      <w:r w:rsidRPr="00AA4D94">
        <w:rPr>
          <w:rFonts w:ascii="Palatino Linotype" w:hAnsi="Palatino Linotype"/>
          <w:i/>
          <w:sz w:val="22"/>
          <w:szCs w:val="22"/>
        </w:rPr>
        <w:t xml:space="preserve">Contradicción de tesis 91/2016. Entre las sustentadas por los Tribunales Colegiados Primero en Materias Administrativa y de </w:t>
      </w:r>
      <w:r w:rsidRPr="00AA4D94">
        <w:rPr>
          <w:rFonts w:ascii="Palatino Linotype" w:hAnsi="Palatino Linotype" w:cs="Arial"/>
          <w:i/>
          <w:color w:val="2F2F2F"/>
          <w:sz w:val="22"/>
          <w:szCs w:val="22"/>
          <w:shd w:val="clear" w:color="auto" w:fill="FFFFFF"/>
        </w:rPr>
        <w:t>Trabajo</w:t>
      </w:r>
      <w:r w:rsidRPr="00AA4D94">
        <w:rPr>
          <w:rFonts w:ascii="Palatino Linotype" w:hAnsi="Palatino Linotype"/>
          <w:i/>
          <w:sz w:val="22"/>
          <w:szCs w:val="22"/>
        </w:rPr>
        <w:t xml:space="preserve"> del Décimo Primer Circuito y Tercero del Vigésimo Séptimo Circuito. 23 de mayo de 2018. Cinco votos de los Ministros Alberto Pérez Dayán, Javier Laynez Potisek, José Fernando Franco González Salas, Margarita Beatriz Luna Ramos y Eduardo Medina Mora I.; votaron con reserva de criterio José Fernando Franco González Salas y Eduardo Medina Mora I. Ponente: Javier Laynez Potisek. Secretario: José Omar Hernández Salgado.</w:t>
      </w:r>
      <w:r w:rsidR="00F40678" w:rsidRPr="00AA4D94">
        <w:rPr>
          <w:rFonts w:ascii="Palatino Linotype" w:hAnsi="Palatino Linotype"/>
          <w:i/>
          <w:sz w:val="22"/>
          <w:szCs w:val="22"/>
        </w:rPr>
        <w:t>”</w:t>
      </w:r>
    </w:p>
    <w:p w:rsidR="00F40678" w:rsidRPr="00AA4D94" w:rsidRDefault="00F40678" w:rsidP="00B57F4B">
      <w:pPr>
        <w:autoSpaceDE w:val="0"/>
        <w:autoSpaceDN w:val="0"/>
        <w:adjustRightInd w:val="0"/>
        <w:spacing w:before="120" w:after="12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830529" w:rsidRPr="00AA4D94" w:rsidRDefault="00830529"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lastRenderedPageBreak/>
        <w:t>Ahora bien, se acredita el interés jurídico para impugnar en amparo el derecho relativo al alumbrado público con el aviso-recibo expedido por la CFE, que en esencia constituye el acto concreto, al encontrarse consignado en el mismo, el monto que corresponde a la tarifica de usuario por el DAP</w:t>
      </w:r>
      <w:r w:rsidR="00A01265" w:rsidRPr="00AA4D94">
        <w:rPr>
          <w:rFonts w:ascii="Palatino Linotype" w:hAnsi="Palatino Linotype"/>
        </w:rPr>
        <w:t>, de conformidad con la Tesis Aislada con número de registro 2013136, de la Novena Época, del Cuarto Tribunal Colegiado del Vigésimo Primer Circuito, publicada en la página 1713, del Tomo XXI, de enero de 2005, del Semanario Judicial de la Federación y su Gaceta, la cual es del texto literal siguiente:</w:t>
      </w:r>
    </w:p>
    <w:p w:rsidR="00A01265" w:rsidRPr="00AA4D94" w:rsidRDefault="00A01265" w:rsidP="00A01265">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 xml:space="preserve">ALUMBRADO PÚBLICO. </w:t>
      </w:r>
      <w:r w:rsidRPr="00AA4D94">
        <w:rPr>
          <w:rFonts w:ascii="Palatino Linotype" w:hAnsi="Palatino Linotype"/>
          <w:b/>
          <w:i/>
          <w:sz w:val="22"/>
          <w:szCs w:val="22"/>
          <w:u w:val="single"/>
        </w:rPr>
        <w:t>EL INTERÉS JURÍDICO PARA IMPUGNAR EN AMPARO EL DERECHO RELATIVO, SE ACREDITA CON EL AVISO-RECIBO EXPEDIDO POR LA COMISIÓN FEDERAL DE ELECTRICIDAD</w:t>
      </w:r>
      <w:r w:rsidRPr="00AA4D94">
        <w:rPr>
          <w:rFonts w:ascii="Palatino Linotype" w:hAnsi="Palatino Linotype"/>
          <w:b/>
          <w:i/>
          <w:sz w:val="22"/>
          <w:szCs w:val="22"/>
        </w:rPr>
        <w:t xml:space="preserve"> QUE CONSTITUYE EL ACTO CONCRETO DE APLICACIÓN DE LA LEY DE INGRESOS PARA EL MUNICIPIO DE ACAPULCO DE JUÁREZ, GUERRERO, VIGENTE PARA 2004</w:t>
      </w:r>
      <w:r w:rsidRPr="00AA4D94">
        <w:rPr>
          <w:rFonts w:ascii="Palatino Linotype" w:hAnsi="Palatino Linotype"/>
          <w:i/>
          <w:sz w:val="22"/>
          <w:szCs w:val="22"/>
        </w:rPr>
        <w:t xml:space="preserve">. El artículo 81 de la citada ley que establece el derecho que por concepto de alumbrado público debe aportarse al Municipio a través de una cuota fija mensual o bimestral que determine la Comisión Federal de Electricidad tiene carácter de una ley heteroaplicativa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w:t>
      </w:r>
      <w:r w:rsidRPr="00AA4D94">
        <w:rPr>
          <w:rFonts w:ascii="Palatino Linotype" w:hAnsi="Palatino Linotype" w:cs="Arial"/>
          <w:i/>
          <w:color w:val="2F2F2F"/>
          <w:sz w:val="22"/>
          <w:szCs w:val="22"/>
          <w:shd w:val="clear" w:color="auto" w:fill="FFFFFF"/>
        </w:rPr>
        <w:t>efectúe</w:t>
      </w:r>
      <w:r w:rsidRPr="00AA4D94">
        <w:rPr>
          <w:rFonts w:ascii="Palatino Linotype" w:hAnsi="Palatino Linotype"/>
          <w:i/>
          <w:sz w:val="22"/>
          <w:szCs w:val="22"/>
        </w:rPr>
        <w:t xml:space="preserv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rsidR="00A01265" w:rsidRPr="00AA4D94" w:rsidRDefault="00A01265" w:rsidP="00A01265">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CUARTO TRIBUNAL COLEGIADO DEL VIGÉSIMO PRIMER CIRCUITO.</w:t>
      </w:r>
    </w:p>
    <w:p w:rsidR="00A01265" w:rsidRPr="00AA4D94" w:rsidRDefault="00A01265" w:rsidP="00A01265">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lastRenderedPageBreak/>
        <w:t>Amparo en revisión 263/2004. Isaura Oropeza Canto. 26 de agosto de 2004. Unanimidad de votos. Ponente: Jesús Rafael Aragón. Secretaria: Ma. Guadalupe Gutiérrez Pessina.”</w:t>
      </w:r>
    </w:p>
    <w:p w:rsidR="00F40678" w:rsidRPr="00AA4D94" w:rsidRDefault="00F40678" w:rsidP="00F40678">
      <w:pPr>
        <w:autoSpaceDE w:val="0"/>
        <w:autoSpaceDN w:val="0"/>
        <w:adjustRightInd w:val="0"/>
        <w:spacing w:before="200" w:after="20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830529" w:rsidRPr="00AA4D94" w:rsidRDefault="00830529"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Consecuentemente, resulta necesario hacer alusión a la Ley Orgánica Municipal del Estado de México, que en su artículo 48</w:t>
      </w:r>
      <w:r w:rsidR="00F40678" w:rsidRPr="00AA4D94">
        <w:rPr>
          <w:rFonts w:ascii="Palatino Linotype" w:hAnsi="Palatino Linotype"/>
        </w:rPr>
        <w:t>,</w:t>
      </w:r>
      <w:r w:rsidRPr="00AA4D94">
        <w:rPr>
          <w:rFonts w:ascii="Palatino Linotype" w:hAnsi="Palatino Linotype"/>
        </w:rPr>
        <w:t xml:space="preserve"> fracción IV dispone que</w:t>
      </w:r>
      <w:r w:rsidR="00F40678" w:rsidRPr="00AA4D94">
        <w:rPr>
          <w:rFonts w:ascii="Palatino Linotype" w:hAnsi="Palatino Linotype"/>
        </w:rPr>
        <w:t>,</w:t>
      </w:r>
      <w:r w:rsidRPr="00AA4D94">
        <w:rPr>
          <w:rFonts w:ascii="Palatino Linotype" w:hAnsi="Palatino Linotype"/>
        </w:rPr>
        <w:t xml:space="preserve"> es una atribución del Presidente Municipal, asumir la representación jurídica del Municipio y del Ayuntamiento, así como de las Dependencias de la Administración Pública Municipal en los litigios  en que este sea parte.</w:t>
      </w:r>
    </w:p>
    <w:p w:rsidR="00830529" w:rsidRPr="00AA4D94" w:rsidRDefault="00830529"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Ahora bien, en términos de lo prescrito en el Diccionario de la Real Academia Española, el “litigio” es definido como el </w:t>
      </w:r>
      <w:r w:rsidRPr="00AA4D94">
        <w:rPr>
          <w:rFonts w:ascii="Palatino Linotype" w:hAnsi="Palatino Linotype"/>
          <w:i/>
        </w:rPr>
        <w:t xml:space="preserve">pleito, altercado en juicio, disputa o contienda, </w:t>
      </w:r>
      <w:r w:rsidRPr="00AA4D94">
        <w:rPr>
          <w:rFonts w:ascii="Palatino Linotype" w:hAnsi="Palatino Linotype"/>
        </w:rPr>
        <w:t>por lo que es fuerza concluir, que para aquellos casos en que se susciten litigios entre partes por el derecho relativo al alumbrado público en el municipio, le corresponde al Presidente Municipal  asumir la representación jurídica.</w:t>
      </w:r>
    </w:p>
    <w:p w:rsidR="00830529" w:rsidRPr="00AA4D94" w:rsidRDefault="00830529"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w:t>
      </w:r>
      <w:r w:rsidR="00F40678" w:rsidRPr="00AA4D94">
        <w:rPr>
          <w:rFonts w:ascii="Palatino Linotype" w:hAnsi="Palatino Linotype"/>
        </w:rPr>
        <w:t>en apego al</w:t>
      </w:r>
      <w:r w:rsidRPr="00AA4D94">
        <w:rPr>
          <w:rFonts w:ascii="Palatino Linotype" w:hAnsi="Palatino Linotype"/>
        </w:rPr>
        <w:t xml:space="preserve"> el principio de máxima publicidad previsto en </w:t>
      </w:r>
      <w:r w:rsidR="00B57F4B" w:rsidRPr="00AA4D94">
        <w:rPr>
          <w:rFonts w:ascii="Palatino Linotype" w:hAnsi="Palatino Linotype" w:cs="Arial"/>
        </w:rPr>
        <w:t xml:space="preserve">los artículos 4, segundo párrafo, 8 segundo párrafo y 9 fracción VII, </w:t>
      </w:r>
      <w:r w:rsidRPr="00AA4D94">
        <w:rPr>
          <w:rFonts w:ascii="Palatino Linotype" w:hAnsi="Palatino Linotype"/>
        </w:rPr>
        <w:t>de la Ley de Transparencia y Acceso a la Información Pública del Estado de México y Municipios.</w:t>
      </w:r>
      <w:r w:rsidR="00B57F4B" w:rsidRPr="00AA4D94">
        <w:rPr>
          <w:rFonts w:ascii="Palatino Linotype" w:hAnsi="Palatino Linotype"/>
        </w:rPr>
        <w:t xml:space="preserve"> No obstante, en </w:t>
      </w:r>
      <w:r w:rsidRPr="00AA4D94">
        <w:rPr>
          <w:rFonts w:ascii="Palatino Linotype" w:hAnsi="Palatino Linotype"/>
        </w:rPr>
        <w:t xml:space="preserve">el caso, que no obre en sus archivos por </w:t>
      </w:r>
      <w:r w:rsidR="00B57F4B" w:rsidRPr="00AA4D94">
        <w:rPr>
          <w:rFonts w:ascii="Palatino Linotype" w:hAnsi="Palatino Linotype"/>
        </w:rPr>
        <w:t xml:space="preserve">llevarse a cabo </w:t>
      </w:r>
      <w:r w:rsidRPr="00AA4D94">
        <w:rPr>
          <w:rFonts w:ascii="Palatino Linotype" w:hAnsi="Palatino Linotype"/>
        </w:rPr>
        <w:t xml:space="preserve">controversias judiciales en los años </w:t>
      </w:r>
      <w:r w:rsidR="00F40678" w:rsidRPr="00AA4D94">
        <w:rPr>
          <w:rFonts w:ascii="Palatino Linotype" w:hAnsi="Palatino Linotype"/>
        </w:rPr>
        <w:t xml:space="preserve">de </w:t>
      </w:r>
      <w:r w:rsidRPr="00AA4D94">
        <w:rPr>
          <w:rFonts w:ascii="Palatino Linotype" w:hAnsi="Palatino Linotype"/>
        </w:rPr>
        <w:t>2013</w:t>
      </w:r>
      <w:r w:rsidR="00F40678" w:rsidRPr="00AA4D94">
        <w:rPr>
          <w:rFonts w:ascii="Palatino Linotype" w:hAnsi="Palatino Linotype"/>
        </w:rPr>
        <w:t xml:space="preserve"> </w:t>
      </w:r>
      <w:r w:rsidR="00F40678" w:rsidRPr="00AA4D94">
        <w:rPr>
          <w:rFonts w:ascii="Palatino Linotype" w:eastAsiaTheme="minorEastAsia" w:hAnsi="Palatino Linotype" w:cs="Arial"/>
        </w:rPr>
        <w:t>al 13 de noviembre de 2018</w:t>
      </w:r>
      <w:r w:rsidR="00F40678" w:rsidRPr="00AA4D94">
        <w:rPr>
          <w:rFonts w:ascii="Palatino Linotype" w:hAnsi="Palatino Linotype"/>
        </w:rPr>
        <w:t>, bastará con hacerlo del conocimiento de</w:t>
      </w:r>
      <w:r w:rsidR="00404B4E" w:rsidRPr="00AA4D94">
        <w:rPr>
          <w:rFonts w:ascii="Palatino Linotype" w:hAnsi="Palatino Linotype"/>
        </w:rPr>
        <w:t xml:space="preserve"> </w:t>
      </w:r>
      <w:r w:rsidR="00404B4E" w:rsidRPr="00AA4D94">
        <w:rPr>
          <w:rFonts w:ascii="Palatino Linotype" w:hAnsi="Palatino Linotype" w:cs="Arial"/>
          <w:b/>
        </w:rPr>
        <w:t>LA RECURRENTE</w:t>
      </w:r>
      <w:r w:rsidRPr="00AA4D94">
        <w:rPr>
          <w:rFonts w:ascii="Palatino Linotype" w:hAnsi="Palatino Linotype"/>
        </w:rPr>
        <w:t>.</w:t>
      </w:r>
    </w:p>
    <w:p w:rsidR="00AB6C34" w:rsidRPr="00AA4D94" w:rsidRDefault="00B57F4B" w:rsidP="00AB6C34">
      <w:pPr>
        <w:pStyle w:val="Prrafodelista"/>
        <w:widowControl w:val="0"/>
        <w:autoSpaceDE w:val="0"/>
        <w:autoSpaceDN w:val="0"/>
        <w:adjustRightInd w:val="0"/>
        <w:spacing w:before="360" w:line="360" w:lineRule="auto"/>
        <w:ind w:left="0"/>
        <w:jc w:val="both"/>
        <w:rPr>
          <w:rFonts w:ascii="Palatino Linotype" w:hAnsi="Palatino Linotype"/>
        </w:rPr>
      </w:pPr>
      <w:r w:rsidRPr="00AA4D94">
        <w:rPr>
          <w:rFonts w:ascii="Palatino Linotype" w:hAnsi="Palatino Linotype"/>
          <w:b/>
        </w:rPr>
        <w:lastRenderedPageBreak/>
        <w:t>Normatividad en materia de alumbrado público</w:t>
      </w:r>
    </w:p>
    <w:p w:rsidR="00AB6C34" w:rsidRPr="00AA4D94" w:rsidRDefault="00B57F4B" w:rsidP="00AB6C34">
      <w:pPr>
        <w:pStyle w:val="Prrafodelista"/>
        <w:widowControl w:val="0"/>
        <w:autoSpaceDE w:val="0"/>
        <w:autoSpaceDN w:val="0"/>
        <w:adjustRightInd w:val="0"/>
        <w:spacing w:line="360" w:lineRule="auto"/>
        <w:ind w:left="0"/>
        <w:jc w:val="both"/>
        <w:rPr>
          <w:rFonts w:ascii="Palatino Linotype" w:hAnsi="Palatino Linotype"/>
        </w:rPr>
      </w:pPr>
      <w:r w:rsidRPr="00AA4D94">
        <w:rPr>
          <w:rFonts w:ascii="Palatino Linotype" w:hAnsi="Palatino Linotype"/>
        </w:rPr>
        <w:t xml:space="preserve">Finalmente, en </w:t>
      </w:r>
      <w:r w:rsidR="00AB6C34" w:rsidRPr="00AA4D94">
        <w:rPr>
          <w:rFonts w:ascii="Palatino Linotype" w:hAnsi="Palatino Linotype"/>
        </w:rPr>
        <w:t>este rubro podemos ubicar el requerimiento de</w:t>
      </w:r>
      <w:r w:rsidR="00404B4E" w:rsidRPr="00AA4D94">
        <w:rPr>
          <w:rFonts w:ascii="Palatino Linotype" w:hAnsi="Palatino Linotype"/>
        </w:rPr>
        <w:t xml:space="preserve"> </w:t>
      </w:r>
      <w:r w:rsidR="00404B4E" w:rsidRPr="00AA4D94">
        <w:rPr>
          <w:rFonts w:ascii="Palatino Linotype" w:hAnsi="Palatino Linotype" w:cs="Arial"/>
          <w:b/>
        </w:rPr>
        <w:t>LA RECURRENTE</w:t>
      </w:r>
      <w:r w:rsidR="00AB6C34" w:rsidRPr="00AA4D94">
        <w:rPr>
          <w:rFonts w:ascii="Palatino Linotype" w:hAnsi="Palatino Linotype"/>
        </w:rPr>
        <w:t xml:space="preserve">, descrito en el </w:t>
      </w:r>
      <w:r w:rsidR="00AB6C34" w:rsidRPr="00AA4D94">
        <w:rPr>
          <w:rFonts w:ascii="Palatino Linotype" w:hAnsi="Palatino Linotype"/>
          <w:b/>
        </w:rPr>
        <w:t xml:space="preserve">Apartado </w:t>
      </w:r>
      <w:r w:rsidRPr="00AA4D94">
        <w:rPr>
          <w:rFonts w:ascii="Palatino Linotype" w:hAnsi="Palatino Linotype"/>
          <w:b/>
        </w:rPr>
        <w:t>V</w:t>
      </w:r>
      <w:r w:rsidR="00AB6C34" w:rsidRPr="00AA4D94">
        <w:rPr>
          <w:rFonts w:ascii="Palatino Linotype" w:hAnsi="Palatino Linotype"/>
          <w:b/>
        </w:rPr>
        <w:t xml:space="preserve">, numeral </w:t>
      </w:r>
      <w:r w:rsidRPr="00AA4D94">
        <w:rPr>
          <w:rFonts w:ascii="Palatino Linotype" w:hAnsi="Palatino Linotype"/>
          <w:b/>
        </w:rPr>
        <w:t>6</w:t>
      </w:r>
      <w:r w:rsidR="00AB6C34" w:rsidRPr="00AA4D94">
        <w:rPr>
          <w:rFonts w:ascii="Palatino Linotype" w:hAnsi="Palatino Linotype"/>
        </w:rPr>
        <w:t>.</w:t>
      </w:r>
    </w:p>
    <w:p w:rsidR="00B57F4B" w:rsidRPr="00AA4D94" w:rsidRDefault="00B57F4B"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Al respecto, debemos recordar que en los artículos 125, fracción II y 126, de la Ley Orgánica Municipal, se establece que los municipios tienen a su cargo la prestación, explotación, administración y conservación de los servicios públicos, entre ellos el del alumbrado público, para lo cual se debe ayudar el ayuntamiento de sus unidades administrativas y organismos auxiliares, quienes pueden coordinarse con el Estado u otros municipios para la eficacia de su prestación pudiéndose concesionar a terceros con sus excepciones:</w:t>
      </w:r>
    </w:p>
    <w:p w:rsidR="00B57F4B" w:rsidRPr="00AA4D94" w:rsidRDefault="00B57F4B" w:rsidP="00B57F4B">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w:t>
      </w:r>
      <w:r w:rsidRPr="00AA4D94">
        <w:rPr>
          <w:rFonts w:ascii="Palatino Linotype" w:hAnsi="Palatino Linotype"/>
          <w:b/>
          <w:i/>
          <w:sz w:val="22"/>
          <w:szCs w:val="22"/>
        </w:rPr>
        <w:t>Artículo 125</w:t>
      </w:r>
      <w:r w:rsidRPr="00AA4D94">
        <w:rPr>
          <w:rFonts w:ascii="Palatino Linotype" w:hAnsi="Palatino Linotype"/>
          <w:i/>
          <w:sz w:val="22"/>
          <w:szCs w:val="22"/>
        </w:rPr>
        <w:t xml:space="preserve">.- </w:t>
      </w:r>
      <w:r w:rsidRPr="00AA4D94">
        <w:rPr>
          <w:rFonts w:ascii="Palatino Linotype" w:hAnsi="Palatino Linotype"/>
          <w:b/>
          <w:i/>
          <w:sz w:val="22"/>
          <w:szCs w:val="22"/>
          <w:u w:val="single"/>
        </w:rPr>
        <w:t>Los municipios tendrán a su cargo la prestación, explotación, administración y conservación de los servicios públicos municipales</w:t>
      </w:r>
      <w:r w:rsidRPr="00AA4D94">
        <w:rPr>
          <w:rFonts w:ascii="Palatino Linotype" w:hAnsi="Palatino Linotype"/>
          <w:i/>
          <w:sz w:val="22"/>
          <w:szCs w:val="22"/>
        </w:rPr>
        <w:t>, considerándose enunciativa y no limitativamente, los siguientes:</w:t>
      </w:r>
    </w:p>
    <w:p w:rsidR="00B57F4B" w:rsidRPr="00AA4D94" w:rsidRDefault="00B57F4B" w:rsidP="00B57F4B">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w:t>
      </w:r>
    </w:p>
    <w:p w:rsidR="00B57F4B" w:rsidRPr="00AA4D94" w:rsidRDefault="00B57F4B" w:rsidP="00B57F4B">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b/>
          <w:i/>
          <w:sz w:val="22"/>
          <w:szCs w:val="22"/>
        </w:rPr>
        <w:t xml:space="preserve">II. </w:t>
      </w:r>
      <w:r w:rsidRPr="00AA4D94">
        <w:rPr>
          <w:rFonts w:ascii="Palatino Linotype" w:hAnsi="Palatino Linotype"/>
          <w:b/>
          <w:i/>
          <w:sz w:val="22"/>
          <w:szCs w:val="22"/>
          <w:u w:val="single"/>
        </w:rPr>
        <w:t>Alumbrado público</w:t>
      </w:r>
      <w:r w:rsidRPr="00AA4D94">
        <w:rPr>
          <w:rFonts w:ascii="Palatino Linotype" w:hAnsi="Palatino Linotype"/>
          <w:i/>
          <w:sz w:val="22"/>
          <w:szCs w:val="22"/>
        </w:rPr>
        <w:t>;</w:t>
      </w:r>
    </w:p>
    <w:p w:rsidR="00B57F4B" w:rsidRPr="00AA4D94" w:rsidRDefault="00B57F4B" w:rsidP="00B57F4B">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i/>
          <w:sz w:val="22"/>
          <w:szCs w:val="22"/>
        </w:rPr>
        <w:t>[…]</w:t>
      </w:r>
    </w:p>
    <w:p w:rsidR="00B57F4B" w:rsidRPr="00AA4D94" w:rsidRDefault="00B57F4B" w:rsidP="00B57F4B">
      <w:pPr>
        <w:autoSpaceDE w:val="0"/>
        <w:autoSpaceDN w:val="0"/>
        <w:adjustRightInd w:val="0"/>
        <w:spacing w:before="200" w:after="200"/>
        <w:ind w:left="709" w:right="709"/>
        <w:jc w:val="both"/>
        <w:rPr>
          <w:rFonts w:ascii="Palatino Linotype" w:hAnsi="Palatino Linotype"/>
          <w:i/>
          <w:sz w:val="22"/>
          <w:szCs w:val="22"/>
        </w:rPr>
      </w:pPr>
      <w:r w:rsidRPr="00AA4D94">
        <w:rPr>
          <w:rFonts w:ascii="Palatino Linotype" w:hAnsi="Palatino Linotype"/>
          <w:b/>
          <w:i/>
          <w:sz w:val="22"/>
          <w:szCs w:val="22"/>
        </w:rPr>
        <w:t xml:space="preserve">Artículo 126.- </w:t>
      </w:r>
      <w:r w:rsidRPr="00AA4D94">
        <w:rPr>
          <w:rFonts w:ascii="Palatino Linotype" w:hAnsi="Palatino Linotype"/>
          <w:b/>
          <w:i/>
          <w:sz w:val="22"/>
          <w:szCs w:val="22"/>
          <w:u w:val="single"/>
        </w:rPr>
        <w:t>La prestación de los servicios públicos deberá realizarse por los ayuntamientos, sus unidades administrativas y organismos auxiliares, quienes podrán coordinarse con el Estado o con otros municipios para la eficacia en su prestación</w:t>
      </w:r>
      <w:r w:rsidRPr="00AA4D94">
        <w:rPr>
          <w:rFonts w:ascii="Palatino Linotype" w:hAnsi="Palatino Linotype"/>
          <w:i/>
          <w:sz w:val="22"/>
          <w:szCs w:val="22"/>
        </w:rPr>
        <w:t>. Podrá concesionarse a terceros la prestación de servicios públicos municipales, a excepción de los de Seguridad Pública y Tránsito, prefiriéndose en igualdad de circunstancias a vecinos del municipio.”</w:t>
      </w:r>
    </w:p>
    <w:p w:rsidR="00B57F4B" w:rsidRPr="00AA4D94" w:rsidRDefault="00B57F4B" w:rsidP="00B57F4B">
      <w:pPr>
        <w:autoSpaceDE w:val="0"/>
        <w:autoSpaceDN w:val="0"/>
        <w:adjustRightInd w:val="0"/>
        <w:spacing w:before="200" w:after="200"/>
        <w:ind w:left="709" w:right="709"/>
        <w:jc w:val="both"/>
        <w:rPr>
          <w:rFonts w:ascii="Palatino Linotype" w:hAnsi="Palatino Linotype"/>
          <w:sz w:val="22"/>
          <w:szCs w:val="22"/>
        </w:rPr>
      </w:pPr>
      <w:r w:rsidRPr="00AA4D94">
        <w:rPr>
          <w:rFonts w:ascii="Palatino Linotype" w:hAnsi="Palatino Linotype"/>
          <w:sz w:val="22"/>
          <w:szCs w:val="22"/>
        </w:rPr>
        <w:t>(Énfasis añadido)</w:t>
      </w:r>
    </w:p>
    <w:p w:rsidR="00B57F4B" w:rsidRPr="00AA4D94" w:rsidRDefault="00B57F4B"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De la misma forma, el artículo 127 de esa Ley, establece que cuando los servicios públicos sean prestados directamente por el ayuntamiento, serán supervisados por los regidores o por los órganos municipales respectivos, en la forma que determine esa </w:t>
      </w:r>
      <w:r w:rsidRPr="00AA4D94">
        <w:rPr>
          <w:rFonts w:ascii="Palatino Linotype" w:hAnsi="Palatino Linotype"/>
        </w:rPr>
        <w:lastRenderedPageBreak/>
        <w:t>legislación y los reglamentos aplicables, en tanto que cuando dicho servicio público sea proporcionado por particulares, se estará a las bases de organización y bajo la dirección del ayuntamiento. Por ende, se advierte que en ambos casos será el propio ayuntamiento quien establezca las normas y lineamientos para la operación y prestación del servicio de alumbrado público. Tal y como se aprecia de la transcripción de los preceptos legales citados:</w:t>
      </w:r>
    </w:p>
    <w:p w:rsidR="00B57F4B" w:rsidRPr="00AA4D94" w:rsidRDefault="00B57F4B" w:rsidP="00B57F4B">
      <w:pPr>
        <w:autoSpaceDE w:val="0"/>
        <w:autoSpaceDN w:val="0"/>
        <w:adjustRightInd w:val="0"/>
        <w:spacing w:before="200" w:after="200"/>
        <w:ind w:left="709" w:right="709"/>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w:t>
      </w:r>
      <w:r w:rsidRPr="00AA4D94">
        <w:rPr>
          <w:rFonts w:ascii="Palatino Linotype" w:eastAsiaTheme="minorEastAsia" w:hAnsi="Palatino Linotype" w:cs="Arial"/>
          <w:b/>
          <w:i/>
          <w:sz w:val="22"/>
          <w:szCs w:val="22"/>
        </w:rPr>
        <w:t>Artículo 126.</w:t>
      </w:r>
      <w:r w:rsidRPr="00AA4D94">
        <w:rPr>
          <w:rFonts w:ascii="Palatino Linotype" w:eastAsiaTheme="minorEastAsia" w:hAnsi="Palatino Linotype" w:cs="Arial"/>
          <w:i/>
          <w:sz w:val="22"/>
          <w:szCs w:val="22"/>
        </w:rPr>
        <w:t xml:space="preserve"> - La prest</w:t>
      </w:r>
      <w:r w:rsidRPr="00AA4D94">
        <w:rPr>
          <w:rFonts w:ascii="Palatino Linotype" w:hAnsi="Palatino Linotype"/>
          <w:i/>
          <w:sz w:val="22"/>
          <w:szCs w:val="22"/>
        </w:rPr>
        <w:t>a</w:t>
      </w:r>
      <w:r w:rsidRPr="00AA4D94">
        <w:rPr>
          <w:rFonts w:ascii="Palatino Linotype" w:eastAsiaTheme="minorEastAsia" w:hAnsi="Palatino Linotype" w:cs="Arial"/>
          <w:i/>
          <w:sz w:val="22"/>
          <w:szCs w:val="22"/>
        </w:rPr>
        <w:t xml:space="preserve">ción de los servicios públicos deberá realizarse por los ayuntamientos, sus unidades administrativas y organismos auxiliares, quienes podrán coordinarse con el </w:t>
      </w:r>
      <w:r w:rsidRPr="00AA4D94">
        <w:rPr>
          <w:rFonts w:ascii="Palatino Linotype" w:hAnsi="Palatino Linotype" w:cs="Arial"/>
          <w:i/>
          <w:color w:val="2F2F2F"/>
          <w:sz w:val="22"/>
          <w:szCs w:val="22"/>
          <w:shd w:val="clear" w:color="auto" w:fill="FFFFFF"/>
        </w:rPr>
        <w:t>Estado</w:t>
      </w:r>
      <w:r w:rsidRPr="00AA4D94">
        <w:rPr>
          <w:rFonts w:ascii="Palatino Linotype" w:eastAsiaTheme="minorEastAsia" w:hAnsi="Palatino Linotype" w:cs="Arial"/>
          <w:i/>
          <w:sz w:val="22"/>
          <w:szCs w:val="22"/>
        </w:rPr>
        <w:t xml:space="preserve"> o con otros municipios para la eficacia en su prestación. </w:t>
      </w:r>
    </w:p>
    <w:p w:rsidR="00B57F4B" w:rsidRPr="00AA4D94" w:rsidRDefault="00B57F4B" w:rsidP="00B57F4B">
      <w:pPr>
        <w:autoSpaceDE w:val="0"/>
        <w:autoSpaceDN w:val="0"/>
        <w:adjustRightInd w:val="0"/>
        <w:spacing w:before="200" w:after="200"/>
        <w:ind w:left="709" w:right="709"/>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 xml:space="preserve">Podrá concesionarse a terceros la prestación de servicios públicos municipales, a excepción de los de </w:t>
      </w:r>
      <w:r w:rsidRPr="00AA4D94">
        <w:rPr>
          <w:rFonts w:ascii="Palatino Linotype" w:hAnsi="Palatino Linotype" w:cs="Arial"/>
          <w:i/>
          <w:color w:val="2F2F2F"/>
          <w:sz w:val="22"/>
          <w:szCs w:val="22"/>
          <w:shd w:val="clear" w:color="auto" w:fill="FFFFFF"/>
        </w:rPr>
        <w:t>Seguridad</w:t>
      </w:r>
      <w:r w:rsidRPr="00AA4D94">
        <w:rPr>
          <w:rFonts w:ascii="Palatino Linotype" w:eastAsiaTheme="minorEastAsia" w:hAnsi="Palatino Linotype" w:cs="Arial"/>
          <w:i/>
          <w:sz w:val="22"/>
          <w:szCs w:val="22"/>
        </w:rPr>
        <w:t xml:space="preserve"> Pública y Tránsito, prefiriéndose en igualdad de circunstancias a vecinos del municipio." </w:t>
      </w:r>
    </w:p>
    <w:p w:rsidR="00B57F4B" w:rsidRPr="00AA4D94" w:rsidRDefault="00B57F4B" w:rsidP="00B57F4B">
      <w:pPr>
        <w:autoSpaceDE w:val="0"/>
        <w:autoSpaceDN w:val="0"/>
        <w:adjustRightInd w:val="0"/>
        <w:spacing w:before="200" w:after="200"/>
        <w:ind w:left="709" w:right="709"/>
        <w:jc w:val="both"/>
        <w:rPr>
          <w:rFonts w:ascii="Palatino Linotype" w:eastAsiaTheme="minorEastAsia" w:hAnsi="Palatino Linotype" w:cs="Arial"/>
          <w:i/>
          <w:sz w:val="22"/>
          <w:szCs w:val="22"/>
        </w:rPr>
      </w:pPr>
      <w:r w:rsidRPr="00AA4D94">
        <w:rPr>
          <w:rFonts w:ascii="Palatino Linotype" w:eastAsiaTheme="minorEastAsia" w:hAnsi="Palatino Linotype" w:cs="Arial"/>
          <w:i/>
          <w:sz w:val="22"/>
          <w:szCs w:val="22"/>
        </w:rPr>
        <w:t>"</w:t>
      </w:r>
      <w:r w:rsidRPr="00AA4D94">
        <w:rPr>
          <w:rFonts w:ascii="Palatino Linotype" w:eastAsiaTheme="minorEastAsia" w:hAnsi="Palatino Linotype" w:cs="Arial"/>
          <w:b/>
          <w:i/>
          <w:sz w:val="22"/>
          <w:szCs w:val="22"/>
        </w:rPr>
        <w:t xml:space="preserve">Artículo 127.- </w:t>
      </w:r>
      <w:r w:rsidRPr="00AA4D94">
        <w:rPr>
          <w:rFonts w:ascii="Palatino Linotype" w:eastAsiaTheme="minorEastAsia" w:hAnsi="Palatino Linotype" w:cs="Arial"/>
          <w:i/>
          <w:sz w:val="22"/>
          <w:szCs w:val="22"/>
        </w:rPr>
        <w:t xml:space="preserve">Cuando los servicios públicos sean prestados directamente por el ayuntamiento, serán </w:t>
      </w:r>
      <w:r w:rsidRPr="00AA4D94">
        <w:rPr>
          <w:rFonts w:ascii="Palatino Linotype" w:hAnsi="Palatino Linotype" w:cs="Arial"/>
          <w:i/>
          <w:color w:val="2F2F2F"/>
          <w:sz w:val="22"/>
          <w:szCs w:val="22"/>
          <w:shd w:val="clear" w:color="auto" w:fill="FFFFFF"/>
        </w:rPr>
        <w:t>supervisados</w:t>
      </w:r>
      <w:r w:rsidRPr="00AA4D94">
        <w:rPr>
          <w:rFonts w:ascii="Palatino Linotype" w:eastAsiaTheme="minorEastAsia" w:hAnsi="Palatino Linotype" w:cs="Arial"/>
          <w:i/>
          <w:sz w:val="22"/>
          <w:szCs w:val="22"/>
        </w:rPr>
        <w:t xml:space="preserve"> por los regidores o por los órganos municipales respectivos, en la forma que determine esta Ley y los reglamentos aplicables. </w:t>
      </w:r>
    </w:p>
    <w:p w:rsidR="00B57F4B" w:rsidRPr="00AA4D94" w:rsidRDefault="00B57F4B" w:rsidP="00B57F4B">
      <w:pPr>
        <w:autoSpaceDE w:val="0"/>
        <w:autoSpaceDN w:val="0"/>
        <w:adjustRightInd w:val="0"/>
        <w:spacing w:before="200" w:after="200"/>
        <w:ind w:left="709" w:right="709"/>
        <w:jc w:val="both"/>
        <w:rPr>
          <w:rFonts w:ascii="Palatino Linotype" w:hAnsi="Palatino Linotype" w:cs="Arial"/>
          <w:i/>
          <w:color w:val="2F2F2F"/>
          <w:sz w:val="22"/>
          <w:szCs w:val="22"/>
          <w:shd w:val="clear" w:color="auto" w:fill="FFFFFF"/>
        </w:rPr>
      </w:pPr>
      <w:r w:rsidRPr="00AA4D94">
        <w:rPr>
          <w:rFonts w:ascii="Palatino Linotype" w:eastAsiaTheme="minorEastAsia" w:hAnsi="Palatino Linotype" w:cs="Arial"/>
          <w:i/>
          <w:sz w:val="22"/>
          <w:szCs w:val="22"/>
        </w:rPr>
        <w:t xml:space="preserve">Los particulares podrán </w:t>
      </w:r>
      <w:r w:rsidRPr="00AA4D94">
        <w:rPr>
          <w:rFonts w:ascii="Palatino Linotype" w:hAnsi="Palatino Linotype" w:cs="Arial"/>
          <w:i/>
          <w:color w:val="2F2F2F"/>
          <w:sz w:val="22"/>
          <w:szCs w:val="22"/>
          <w:shd w:val="clear" w:color="auto" w:fill="FFFFFF"/>
        </w:rPr>
        <w:t>participar</w:t>
      </w:r>
      <w:r w:rsidRPr="00AA4D94">
        <w:rPr>
          <w:rFonts w:ascii="Palatino Linotype" w:eastAsiaTheme="minorEastAsia" w:hAnsi="Palatino Linotype" w:cs="Arial"/>
          <w:i/>
          <w:sz w:val="22"/>
          <w:szCs w:val="22"/>
        </w:rPr>
        <w:t xml:space="preserve"> en la prestación de servicios </w:t>
      </w:r>
      <w:r w:rsidRPr="00AA4D94">
        <w:rPr>
          <w:rFonts w:ascii="Palatino Linotype" w:hAnsi="Palatino Linotype" w:cs="Arial"/>
          <w:i/>
          <w:color w:val="2F2F2F"/>
          <w:sz w:val="22"/>
          <w:szCs w:val="22"/>
          <w:shd w:val="clear" w:color="auto" w:fill="FFFFFF"/>
        </w:rPr>
        <w:t xml:space="preserve">públicos, conforme a las bases de organización y bajo la </w:t>
      </w:r>
      <w:r w:rsidRPr="00AA4D94">
        <w:rPr>
          <w:rFonts w:ascii="Palatino Linotype" w:hAnsi="Palatino Linotype"/>
          <w:i/>
          <w:sz w:val="22"/>
          <w:szCs w:val="22"/>
        </w:rPr>
        <w:t>dirección</w:t>
      </w:r>
      <w:r w:rsidRPr="00AA4D94">
        <w:rPr>
          <w:rFonts w:ascii="Palatino Linotype" w:hAnsi="Palatino Linotype" w:cs="Arial"/>
          <w:i/>
          <w:color w:val="2F2F2F"/>
          <w:sz w:val="22"/>
          <w:szCs w:val="22"/>
          <w:shd w:val="clear" w:color="auto" w:fill="FFFFFF"/>
        </w:rPr>
        <w:t xml:space="preserve"> que acuerden los ayuntamientos." </w:t>
      </w:r>
    </w:p>
    <w:p w:rsidR="00AB6C34" w:rsidRPr="00AA4D94" w:rsidRDefault="00B57F4B" w:rsidP="00B57F4B">
      <w:pPr>
        <w:autoSpaceDE w:val="0"/>
        <w:autoSpaceDN w:val="0"/>
        <w:adjustRightInd w:val="0"/>
        <w:spacing w:before="360" w:after="240" w:line="360" w:lineRule="auto"/>
        <w:jc w:val="both"/>
        <w:rPr>
          <w:rFonts w:ascii="Palatino Linotype" w:hAnsi="Palatino Linotype"/>
        </w:rPr>
      </w:pPr>
      <w:r w:rsidRPr="00AA4D94">
        <w:rPr>
          <w:rFonts w:ascii="Palatino Linotype" w:hAnsi="Palatino Linotype"/>
        </w:rPr>
        <w:t xml:space="preserve">Aunado a lo anterior, el mismo marco normativo contempla en la fracción I del artículo 31, que son atribuciones de los ayuntamientos, el expedir y reformar el Bando Municipal, así como los reglamentos, circulares y disposiciones administrativas de observancia general dentro del territorio del municipio, que sean necesarios para su organización, prestación de los servicios públicos y para el cumplimiento de sus atribuciones en general; por lo cual para el caso del alumbrado público resulta dable ordenar la normatividad utilizada por </w:t>
      </w:r>
      <w:r w:rsidRPr="00AA4D94">
        <w:rPr>
          <w:rFonts w:ascii="Palatino Linotype" w:hAnsi="Palatino Linotype"/>
          <w:b/>
        </w:rPr>
        <w:t>EL SUJETO OBLIGADO</w:t>
      </w:r>
      <w:r w:rsidRPr="00AA4D94">
        <w:rPr>
          <w:rFonts w:ascii="Palatino Linotype" w:hAnsi="Palatino Linotype"/>
        </w:rPr>
        <w:t xml:space="preserve"> para operar y proporcionar el servicio de alumbrado público vigente al 13 de noviembre de 2018.</w:t>
      </w:r>
    </w:p>
    <w:p w:rsidR="00885380" w:rsidRPr="00AA4D94" w:rsidRDefault="00885380" w:rsidP="00885380">
      <w:pPr>
        <w:spacing w:before="360" w:after="240" w:line="360" w:lineRule="auto"/>
        <w:jc w:val="both"/>
        <w:rPr>
          <w:rFonts w:ascii="Palatino Linotype" w:hAnsi="Palatino Linotype" w:cs="Arial"/>
          <w:lang w:val="es-ES_tradnl"/>
        </w:rPr>
      </w:pPr>
      <w:r w:rsidRPr="00AA4D94">
        <w:rPr>
          <w:rFonts w:ascii="Palatino Linotype" w:hAnsi="Palatino Linotype"/>
          <w:lang w:val="es-ES_tradnl"/>
        </w:rPr>
        <w:lastRenderedPageBreak/>
        <w:t xml:space="preserve">Por </w:t>
      </w:r>
      <w:r w:rsidRPr="00AA4D94">
        <w:rPr>
          <w:rFonts w:ascii="Palatino Linotype" w:hAnsi="Palatino Linotype"/>
          <w:lang w:eastAsia="es-MX"/>
        </w:rPr>
        <w:t>ende</w:t>
      </w:r>
      <w:r w:rsidRPr="00AA4D94">
        <w:rPr>
          <w:rFonts w:ascii="Palatino Linotype" w:hAnsi="Palatino Linotype"/>
          <w:lang w:val="es-ES_tradnl"/>
        </w:rPr>
        <w:t xml:space="preserve">, el Sujeto Obligado debe testar los datos confidenciales, sin pasar por alto que la clasificación respectiva tiene </w:t>
      </w:r>
      <w:r w:rsidRPr="00AA4D94">
        <w:rPr>
          <w:rFonts w:ascii="Palatino Linotype" w:hAnsi="Palatino Linotype"/>
        </w:rPr>
        <w:t>que</w:t>
      </w:r>
      <w:r w:rsidRPr="00AA4D94">
        <w:rPr>
          <w:rFonts w:ascii="Palatino Linotype" w:hAnsi="Palatino Linotype"/>
          <w:lang w:val="es-ES_tradnl"/>
        </w:rPr>
        <w:t xml:space="preserve"> cumplirse a través de la forma y formalidades que la Ley impone; </w:t>
      </w:r>
      <w:r w:rsidRPr="00AA4D94">
        <w:rPr>
          <w:rFonts w:ascii="Palatino Linotype" w:hAnsi="Palatino Linotype"/>
        </w:rPr>
        <w:t>es</w:t>
      </w:r>
      <w:r w:rsidRPr="00AA4D94">
        <w:rPr>
          <w:rFonts w:ascii="Palatino Linotype" w:hAnsi="Palatino Linotype"/>
          <w:lang w:val="es-ES_tradnl"/>
        </w:rPr>
        <w:t xml:space="preserve"> decir, mediante Acuerdo debidamente fundado y motivado, en </w:t>
      </w:r>
      <w:r w:rsidRPr="00AA4D94">
        <w:rPr>
          <w:rFonts w:ascii="Palatino Linotype" w:hAnsi="Palatino Linotype"/>
          <w:noProof/>
          <w:lang w:eastAsia="es-MX"/>
        </w:rPr>
        <w:t>términos</w:t>
      </w:r>
      <w:r w:rsidRPr="00AA4D94">
        <w:rPr>
          <w:rFonts w:ascii="Palatino Linotype" w:hAnsi="Palatino Linotype"/>
          <w:lang w:val="es-ES_tradnl"/>
        </w:rPr>
        <w:t xml:space="preserve"> de los artículos</w:t>
      </w:r>
      <w:r w:rsidRPr="00AA4D94">
        <w:rPr>
          <w:rFonts w:ascii="Palatino Linotype" w:hAnsi="Palatino Linotype" w:cs="Arial"/>
          <w:lang w:val="es-ES_tradnl"/>
        </w:rPr>
        <w:t xml:space="preserve">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85380" w:rsidRPr="00AA4D94" w:rsidRDefault="00885380" w:rsidP="00B57F4B">
      <w:pPr>
        <w:spacing w:before="360" w:after="240"/>
        <w:ind w:left="709" w:right="709"/>
        <w:jc w:val="center"/>
        <w:rPr>
          <w:rFonts w:ascii="Palatino Linotype" w:hAnsi="Palatino Linotype" w:cs="Arial"/>
          <w:b/>
          <w:i/>
          <w:sz w:val="22"/>
        </w:rPr>
      </w:pPr>
      <w:r w:rsidRPr="00AA4D94">
        <w:rPr>
          <w:rFonts w:ascii="Palatino Linotype" w:hAnsi="Palatino Linotype" w:cs="Arial"/>
          <w:b/>
          <w:i/>
          <w:sz w:val="22"/>
        </w:rPr>
        <w:t>Ley de Transparencia y Acceso a la Información Pública del Estado de México y Municipios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w:t>
      </w:r>
      <w:r w:rsidRPr="00AA4D94">
        <w:rPr>
          <w:rFonts w:ascii="Palatino Linotype" w:hAnsi="Palatino Linotype" w:cs="Arial"/>
          <w:b/>
          <w:i/>
          <w:sz w:val="22"/>
          <w:szCs w:val="22"/>
          <w:lang w:eastAsia="es-MX"/>
        </w:rPr>
        <w:t xml:space="preserve">Artículo 49. </w:t>
      </w:r>
      <w:r w:rsidRPr="00AA4D94">
        <w:rPr>
          <w:rFonts w:ascii="Palatino Linotype" w:hAnsi="Palatino Linotype" w:cs="Arial"/>
          <w:i/>
          <w:sz w:val="22"/>
          <w:szCs w:val="22"/>
          <w:lang w:eastAsia="es-MX"/>
        </w:rPr>
        <w:t xml:space="preserve">Los </w:t>
      </w:r>
      <w:r w:rsidRPr="00AA4D94">
        <w:rPr>
          <w:rFonts w:ascii="Palatino Linotype" w:hAnsi="Palatino Linotype" w:cs="Arial"/>
          <w:i/>
          <w:sz w:val="22"/>
        </w:rPr>
        <w:t>Comités</w:t>
      </w:r>
      <w:r w:rsidRPr="00AA4D94">
        <w:rPr>
          <w:rFonts w:ascii="Palatino Linotype" w:hAnsi="Palatino Linotype" w:cs="Arial"/>
          <w:i/>
          <w:sz w:val="22"/>
          <w:szCs w:val="22"/>
          <w:lang w:eastAsia="es-MX"/>
        </w:rPr>
        <w:t xml:space="preserve"> de </w:t>
      </w:r>
      <w:r w:rsidRPr="00AA4D94">
        <w:rPr>
          <w:rFonts w:ascii="Palatino Linotype" w:hAnsi="Palatino Linotype" w:cs="Arial"/>
          <w:i/>
          <w:sz w:val="22"/>
          <w:lang w:eastAsia="es-MX"/>
        </w:rPr>
        <w:t>Transparencia</w:t>
      </w:r>
      <w:r w:rsidRPr="00AA4D94">
        <w:rPr>
          <w:rFonts w:ascii="Palatino Linotype" w:hAnsi="Palatino Linotype" w:cs="Arial"/>
          <w:i/>
          <w:sz w:val="22"/>
          <w:szCs w:val="22"/>
          <w:lang w:eastAsia="es-MX"/>
        </w:rPr>
        <w:t xml:space="preserve"> </w:t>
      </w:r>
      <w:r w:rsidRPr="00AA4D94">
        <w:rPr>
          <w:rFonts w:ascii="Palatino Linotype" w:hAnsi="Palatino Linotype"/>
          <w:i/>
          <w:sz w:val="22"/>
          <w:szCs w:val="22"/>
        </w:rPr>
        <w:t>tendrán</w:t>
      </w:r>
      <w:r w:rsidRPr="00AA4D94">
        <w:rPr>
          <w:rFonts w:ascii="Palatino Linotype" w:hAnsi="Palatino Linotype" w:cs="Arial"/>
          <w:i/>
          <w:sz w:val="22"/>
          <w:szCs w:val="22"/>
          <w:lang w:eastAsia="es-MX"/>
        </w:rPr>
        <w:t xml:space="preserve"> las siguientes atribuciones:</w:t>
      </w:r>
    </w:p>
    <w:p w:rsidR="00885380" w:rsidRPr="00AA4D94" w:rsidRDefault="00885380" w:rsidP="00B57F4B">
      <w:pPr>
        <w:autoSpaceDE w:val="0"/>
        <w:autoSpaceDN w:val="0"/>
        <w:adjustRightInd w:val="0"/>
        <w:spacing w:before="200" w:after="20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VIII.</w:t>
      </w:r>
      <w:r w:rsidRPr="00AA4D94">
        <w:rPr>
          <w:rFonts w:ascii="Palatino Linotype" w:hAnsi="Palatino Linotype" w:cs="Arial"/>
          <w:i/>
          <w:sz w:val="22"/>
          <w:szCs w:val="22"/>
          <w:lang w:eastAsia="es-MX"/>
        </w:rPr>
        <w:t xml:space="preserve"> Aprobar, </w:t>
      </w:r>
      <w:r w:rsidRPr="00AA4D94">
        <w:rPr>
          <w:rFonts w:ascii="Palatino Linotype" w:hAnsi="Palatino Linotype" w:cs="Arial"/>
          <w:i/>
          <w:sz w:val="22"/>
        </w:rPr>
        <w:t>modificar</w:t>
      </w:r>
      <w:r w:rsidRPr="00AA4D94">
        <w:rPr>
          <w:rFonts w:ascii="Palatino Linotype" w:hAnsi="Palatino Linotype" w:cs="Arial"/>
          <w:i/>
          <w:sz w:val="22"/>
          <w:szCs w:val="22"/>
          <w:lang w:eastAsia="es-MX"/>
        </w:rPr>
        <w:t xml:space="preserve"> o revocar la clasificación de la información;</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Artículo 132.</w:t>
      </w:r>
      <w:r w:rsidRPr="00AA4D94">
        <w:rPr>
          <w:rFonts w:ascii="Palatino Linotype" w:hAnsi="Palatino Linotype" w:cs="Arial"/>
          <w:i/>
          <w:sz w:val="22"/>
          <w:szCs w:val="22"/>
          <w:lang w:eastAsia="es-MX"/>
        </w:rPr>
        <w:t xml:space="preserve"> La </w:t>
      </w:r>
      <w:r w:rsidRPr="00AA4D94">
        <w:rPr>
          <w:rFonts w:ascii="Palatino Linotype" w:hAnsi="Palatino Linotype" w:cs="Arial"/>
          <w:i/>
          <w:sz w:val="22"/>
          <w:lang w:eastAsia="es-MX"/>
        </w:rPr>
        <w:t>clasificación</w:t>
      </w:r>
      <w:r w:rsidRPr="00AA4D94">
        <w:rPr>
          <w:rFonts w:ascii="Palatino Linotype" w:hAnsi="Palatino Linotype" w:cs="Arial"/>
          <w:i/>
          <w:sz w:val="22"/>
          <w:szCs w:val="22"/>
          <w:lang w:eastAsia="es-MX"/>
        </w:rPr>
        <w:t xml:space="preserve"> de la información se llevará a cabo en el momento en que:</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II.</w:t>
      </w:r>
      <w:r w:rsidRPr="00AA4D94">
        <w:rPr>
          <w:rFonts w:ascii="Palatino Linotype" w:hAnsi="Palatino Linotype" w:cs="Arial"/>
          <w:i/>
          <w:sz w:val="22"/>
          <w:szCs w:val="22"/>
          <w:lang w:eastAsia="es-MX"/>
        </w:rPr>
        <w:t xml:space="preserve"> Se determine </w:t>
      </w:r>
      <w:r w:rsidRPr="00AA4D94">
        <w:rPr>
          <w:rFonts w:ascii="Palatino Linotype" w:hAnsi="Palatino Linotype" w:cs="Arial"/>
          <w:i/>
          <w:sz w:val="22"/>
          <w:lang w:eastAsia="es-MX"/>
        </w:rPr>
        <w:t>mediante</w:t>
      </w:r>
      <w:r w:rsidRPr="00AA4D94">
        <w:rPr>
          <w:rFonts w:ascii="Palatino Linotype" w:hAnsi="Palatino Linotype" w:cs="Arial"/>
          <w:i/>
          <w:sz w:val="22"/>
          <w:szCs w:val="22"/>
          <w:lang w:eastAsia="es-MX"/>
        </w:rPr>
        <w:t xml:space="preserve"> resolución de autoridad competente; o</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III</w:t>
      </w:r>
      <w:r w:rsidRPr="00AA4D94">
        <w:rPr>
          <w:rFonts w:ascii="Palatino Linotype" w:hAnsi="Palatino Linotype" w:cs="Arial"/>
          <w:i/>
          <w:sz w:val="22"/>
          <w:szCs w:val="22"/>
          <w:lang w:eastAsia="es-MX"/>
        </w:rPr>
        <w:t xml:space="preserve">. Se generen </w:t>
      </w:r>
      <w:r w:rsidRPr="00AA4D94">
        <w:rPr>
          <w:rFonts w:ascii="Palatino Linotype" w:hAnsi="Palatino Linotype" w:cs="Arial"/>
          <w:i/>
          <w:sz w:val="22"/>
          <w:lang w:eastAsia="es-MX"/>
        </w:rPr>
        <w:t>versiones</w:t>
      </w:r>
      <w:r w:rsidRPr="00AA4D94">
        <w:rPr>
          <w:rFonts w:ascii="Palatino Linotype" w:hAnsi="Palatino Linotype" w:cs="Arial"/>
          <w:i/>
          <w:sz w:val="22"/>
          <w:szCs w:val="22"/>
          <w:lang w:eastAsia="es-MX"/>
        </w:rPr>
        <w:t xml:space="preserve"> públicas para dar cumplimiento a las obligaciones de transparencia previstas en esta Ley.”</w:t>
      </w:r>
    </w:p>
    <w:p w:rsidR="00885380" w:rsidRPr="00AA4D94" w:rsidRDefault="00885380" w:rsidP="00B57F4B">
      <w:pPr>
        <w:spacing w:before="360" w:after="240"/>
        <w:ind w:left="709" w:right="709"/>
        <w:jc w:val="center"/>
        <w:rPr>
          <w:rFonts w:ascii="Palatino Linotype" w:hAnsi="Palatino Linotype" w:cs="Arial"/>
          <w:b/>
          <w:i/>
          <w:sz w:val="22"/>
          <w:szCs w:val="22"/>
          <w:lang w:eastAsia="es-MX"/>
        </w:rPr>
      </w:pPr>
      <w:r w:rsidRPr="00AA4D94">
        <w:rPr>
          <w:rFonts w:ascii="Palatino Linotype" w:hAnsi="Palatino Linotype" w:cs="Arial"/>
          <w:b/>
          <w:i/>
          <w:sz w:val="22"/>
          <w:szCs w:val="22"/>
          <w:lang w:eastAsia="es-MX"/>
        </w:rPr>
        <w:t xml:space="preserve">Lineamientos </w:t>
      </w:r>
      <w:r w:rsidRPr="00AA4D94">
        <w:rPr>
          <w:rFonts w:ascii="Palatino Linotype" w:hAnsi="Palatino Linotype" w:cs="Arial"/>
          <w:b/>
          <w:i/>
          <w:sz w:val="22"/>
        </w:rPr>
        <w:t>Generales</w:t>
      </w:r>
      <w:r w:rsidRPr="00AA4D94">
        <w:rPr>
          <w:rFonts w:ascii="Palatino Linotype" w:hAnsi="Palatino Linotype" w:cs="Arial"/>
          <w:b/>
          <w:i/>
          <w:sz w:val="22"/>
          <w:szCs w:val="22"/>
          <w:lang w:eastAsia="es-MX"/>
        </w:rPr>
        <w:t xml:space="preserve"> en materia de Clasificación y Desclasificación de la </w:t>
      </w:r>
      <w:r w:rsidRPr="00AA4D94">
        <w:rPr>
          <w:rFonts w:ascii="Palatino Linotype" w:hAnsi="Palatino Linotype" w:cs="Arial"/>
          <w:b/>
          <w:i/>
          <w:sz w:val="22"/>
        </w:rPr>
        <w:t>Información, así como para la elaboración de Versiones Públicas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w:t>
      </w:r>
      <w:r w:rsidRPr="00AA4D94">
        <w:rPr>
          <w:rFonts w:ascii="Palatino Linotype" w:hAnsi="Palatino Linotype" w:cs="Arial"/>
          <w:b/>
          <w:i/>
          <w:sz w:val="22"/>
          <w:szCs w:val="22"/>
          <w:lang w:eastAsia="es-MX"/>
        </w:rPr>
        <w:t>Segundo.-</w:t>
      </w:r>
      <w:r w:rsidRPr="00AA4D94">
        <w:rPr>
          <w:rFonts w:ascii="Palatino Linotype" w:hAnsi="Palatino Linotype" w:cs="Arial"/>
          <w:i/>
          <w:sz w:val="22"/>
          <w:szCs w:val="22"/>
          <w:lang w:eastAsia="es-MX"/>
        </w:rPr>
        <w:t xml:space="preserve"> Para </w:t>
      </w:r>
      <w:r w:rsidRPr="00AA4D94">
        <w:rPr>
          <w:rFonts w:ascii="Palatino Linotype" w:hAnsi="Palatino Linotype" w:cs="Arial"/>
          <w:i/>
          <w:sz w:val="22"/>
          <w:lang w:eastAsia="es-MX"/>
        </w:rPr>
        <w:t>efectos</w:t>
      </w:r>
      <w:r w:rsidRPr="00AA4D94">
        <w:rPr>
          <w:rFonts w:ascii="Palatino Linotype" w:hAnsi="Palatino Linotype" w:cs="Arial"/>
          <w:i/>
          <w:sz w:val="22"/>
          <w:szCs w:val="22"/>
          <w:lang w:eastAsia="es-MX"/>
        </w:rPr>
        <w:t xml:space="preserve"> de los </w:t>
      </w:r>
      <w:r w:rsidRPr="00AA4D94">
        <w:rPr>
          <w:rFonts w:ascii="Palatino Linotype" w:hAnsi="Palatino Linotype" w:cs="Arial"/>
          <w:i/>
          <w:sz w:val="22"/>
        </w:rPr>
        <w:t>presentes</w:t>
      </w:r>
      <w:r w:rsidRPr="00AA4D94">
        <w:rPr>
          <w:rFonts w:ascii="Palatino Linotype" w:hAnsi="Palatino Linotype" w:cs="Arial"/>
          <w:i/>
          <w:sz w:val="22"/>
          <w:szCs w:val="22"/>
          <w:lang w:eastAsia="es-MX"/>
        </w:rPr>
        <w:t xml:space="preserve"> Lineamientos Generales, se entenderá por:</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XVIII.</w:t>
      </w:r>
      <w:r w:rsidRPr="00AA4D94">
        <w:rPr>
          <w:rFonts w:ascii="Palatino Linotype" w:hAnsi="Palatino Linotype" w:cs="Arial"/>
          <w:i/>
          <w:sz w:val="22"/>
          <w:szCs w:val="22"/>
          <w:lang w:eastAsia="es-MX"/>
        </w:rPr>
        <w:t xml:space="preserve"> </w:t>
      </w:r>
      <w:r w:rsidRPr="00AA4D94">
        <w:rPr>
          <w:rFonts w:ascii="Palatino Linotype" w:hAnsi="Palatino Linotype" w:cs="Arial"/>
          <w:b/>
          <w:i/>
          <w:sz w:val="22"/>
          <w:szCs w:val="22"/>
          <w:lang w:eastAsia="es-MX"/>
        </w:rPr>
        <w:t>Versión pública:</w:t>
      </w:r>
      <w:r w:rsidRPr="00AA4D94">
        <w:rPr>
          <w:rFonts w:ascii="Palatino Linotype" w:hAnsi="Palatino Linotype" w:cs="Arial"/>
          <w:i/>
          <w:sz w:val="22"/>
          <w:szCs w:val="22"/>
          <w:lang w:eastAsia="es-MX"/>
        </w:rPr>
        <w:t xml:space="preserve"> El </w:t>
      </w:r>
      <w:r w:rsidRPr="00AA4D94">
        <w:rPr>
          <w:rFonts w:ascii="Palatino Linotype" w:hAnsi="Palatino Linotype" w:cs="Arial"/>
          <w:bCs/>
          <w:i/>
          <w:noProof/>
          <w:sz w:val="22"/>
        </w:rPr>
        <w:t>documento</w:t>
      </w:r>
      <w:r w:rsidRPr="00AA4D9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A4D94">
        <w:rPr>
          <w:rFonts w:ascii="Palatino Linotype" w:hAnsi="Palatino Linotype" w:cs="Arial"/>
          <w:b/>
          <w:i/>
          <w:sz w:val="22"/>
          <w:szCs w:val="22"/>
          <w:u w:val="single"/>
          <w:lang w:eastAsia="es-MX"/>
        </w:rPr>
        <w:t>fundando y motivando la reserva o confidencialidad</w:t>
      </w:r>
      <w:r w:rsidRPr="00AA4D94">
        <w:rPr>
          <w:rFonts w:ascii="Palatino Linotype" w:hAnsi="Palatino Linotype" w:cs="Arial"/>
          <w:i/>
          <w:sz w:val="22"/>
          <w:szCs w:val="22"/>
          <w:lang w:eastAsia="es-MX"/>
        </w:rPr>
        <w:t xml:space="preserve">, a través de la resolución que para tal efecto emita el </w:t>
      </w:r>
      <w:r w:rsidRPr="00AA4D94">
        <w:rPr>
          <w:rFonts w:ascii="Palatino Linotype" w:hAnsi="Palatino Linotype" w:cs="Arial"/>
          <w:bCs/>
          <w:i/>
          <w:noProof/>
          <w:sz w:val="22"/>
        </w:rPr>
        <w:t>Comité</w:t>
      </w:r>
      <w:r w:rsidRPr="00AA4D94">
        <w:rPr>
          <w:rFonts w:ascii="Palatino Linotype" w:hAnsi="Palatino Linotype" w:cs="Arial"/>
          <w:i/>
          <w:sz w:val="22"/>
          <w:szCs w:val="22"/>
          <w:lang w:eastAsia="es-MX"/>
        </w:rPr>
        <w:t xml:space="preserve"> de Transparencia.</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Cuarto.</w:t>
      </w:r>
      <w:r w:rsidRPr="00AA4D94">
        <w:rPr>
          <w:rFonts w:ascii="Palatino Linotype" w:hAnsi="Palatino Linotype" w:cs="Arial"/>
          <w:i/>
          <w:sz w:val="22"/>
          <w:szCs w:val="22"/>
          <w:lang w:eastAsia="es-MX"/>
        </w:rPr>
        <w:t xml:space="preserve"> Para clasificar la información como reservada o confidencial, de manera total o parcial, el </w:t>
      </w:r>
      <w:r w:rsidRPr="00AA4D94">
        <w:rPr>
          <w:rFonts w:ascii="Palatino Linotype" w:hAnsi="Palatino Linotype" w:cs="Arial"/>
          <w:i/>
          <w:sz w:val="22"/>
          <w:lang w:eastAsia="es-MX"/>
        </w:rPr>
        <w:t>titular</w:t>
      </w:r>
      <w:r w:rsidRPr="00AA4D94">
        <w:rPr>
          <w:rFonts w:ascii="Palatino Linotype" w:hAnsi="Palatino Linotype" w:cs="Arial"/>
          <w:i/>
          <w:sz w:val="22"/>
          <w:szCs w:val="22"/>
          <w:lang w:eastAsia="es-MX"/>
        </w:rPr>
        <w:t xml:space="preserve"> del </w:t>
      </w:r>
      <w:r w:rsidRPr="00AA4D94">
        <w:rPr>
          <w:rFonts w:ascii="Palatino Linotype" w:hAnsi="Palatino Linotype" w:cs="Arial"/>
          <w:bCs/>
          <w:i/>
          <w:noProof/>
          <w:sz w:val="22"/>
        </w:rPr>
        <w:t>área</w:t>
      </w:r>
      <w:r w:rsidRPr="00AA4D94">
        <w:rPr>
          <w:rFonts w:ascii="Palatino Linotype" w:hAnsi="Palatino Linotype" w:cs="Arial"/>
          <w:i/>
          <w:sz w:val="22"/>
          <w:szCs w:val="22"/>
          <w:lang w:eastAsia="es-MX"/>
        </w:rPr>
        <w:t xml:space="preserve"> del sujeto </w:t>
      </w:r>
      <w:r w:rsidRPr="00AA4D94">
        <w:rPr>
          <w:rFonts w:ascii="Palatino Linotype" w:hAnsi="Palatino Linotype" w:cs="Arial"/>
          <w:i/>
          <w:sz w:val="22"/>
        </w:rPr>
        <w:t>obligado</w:t>
      </w:r>
      <w:r w:rsidRPr="00AA4D94">
        <w:rPr>
          <w:rFonts w:ascii="Palatino Linotype" w:hAnsi="Palatino Linotype" w:cs="Arial"/>
          <w:i/>
          <w:sz w:val="22"/>
          <w:szCs w:val="22"/>
          <w:lang w:eastAsia="es-MX"/>
        </w:rPr>
        <w:t xml:space="preserve"> deberá atender lo dispuesto por el Título </w:t>
      </w:r>
      <w:r w:rsidRPr="00AA4D94">
        <w:rPr>
          <w:rFonts w:ascii="Palatino Linotype" w:hAnsi="Palatino Linotype" w:cs="Arial"/>
          <w:i/>
          <w:sz w:val="22"/>
          <w:szCs w:val="22"/>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 xml:space="preserve">Los sujetos obligados deberán aplicar, de manera estricta, las excepciones al derecho de acceso a la </w:t>
      </w:r>
      <w:r w:rsidRPr="00AA4D94">
        <w:rPr>
          <w:rFonts w:ascii="Palatino Linotype" w:hAnsi="Palatino Linotype" w:cs="Arial"/>
          <w:bCs/>
          <w:i/>
          <w:noProof/>
          <w:sz w:val="22"/>
        </w:rPr>
        <w:t>información</w:t>
      </w:r>
      <w:r w:rsidRPr="00AA4D94">
        <w:rPr>
          <w:rFonts w:ascii="Palatino Linotype" w:hAnsi="Palatino Linotype" w:cs="Arial"/>
          <w:i/>
          <w:sz w:val="22"/>
          <w:szCs w:val="22"/>
          <w:lang w:eastAsia="es-MX"/>
        </w:rPr>
        <w:t xml:space="preserve"> y sólo </w:t>
      </w:r>
      <w:r w:rsidRPr="00AA4D94">
        <w:rPr>
          <w:rFonts w:ascii="Palatino Linotype" w:hAnsi="Palatino Linotype" w:cs="Arial"/>
          <w:i/>
          <w:sz w:val="22"/>
        </w:rPr>
        <w:t>podrán</w:t>
      </w:r>
      <w:r w:rsidRPr="00AA4D94">
        <w:rPr>
          <w:rFonts w:ascii="Palatino Linotype" w:hAnsi="Palatino Linotype" w:cs="Arial"/>
          <w:i/>
          <w:sz w:val="22"/>
          <w:szCs w:val="22"/>
          <w:lang w:eastAsia="es-MX"/>
        </w:rPr>
        <w:t xml:space="preserve"> invocarlas cuando acrediten su procedencia.</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Quinto.</w:t>
      </w:r>
      <w:r w:rsidRPr="00AA4D94">
        <w:rPr>
          <w:rFonts w:ascii="Palatino Linotype" w:hAnsi="Palatino Linotype" w:cs="Arial"/>
          <w:i/>
          <w:sz w:val="22"/>
          <w:szCs w:val="22"/>
          <w:lang w:eastAsia="es-MX"/>
        </w:rPr>
        <w:t xml:space="preserve"> La carga de </w:t>
      </w:r>
      <w:r w:rsidRPr="00AA4D94">
        <w:rPr>
          <w:rFonts w:ascii="Palatino Linotype" w:hAnsi="Palatino Linotype" w:cs="Arial"/>
          <w:i/>
          <w:sz w:val="22"/>
          <w:lang w:eastAsia="es-MX"/>
        </w:rPr>
        <w:t>la</w:t>
      </w:r>
      <w:r w:rsidRPr="00AA4D94">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A4D94">
        <w:rPr>
          <w:rFonts w:ascii="Palatino Linotype" w:hAnsi="Palatino Linotype" w:cs="Arial"/>
          <w:i/>
          <w:sz w:val="22"/>
        </w:rPr>
        <w:t>corresponderá</w:t>
      </w:r>
      <w:r w:rsidRPr="00AA4D9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Sexto.</w:t>
      </w:r>
      <w:r w:rsidRPr="00AA4D94">
        <w:rPr>
          <w:rFonts w:ascii="Palatino Linotype" w:hAnsi="Palatino Linotype" w:cs="Arial"/>
          <w:i/>
          <w:sz w:val="22"/>
          <w:szCs w:val="22"/>
          <w:lang w:eastAsia="es-MX"/>
        </w:rPr>
        <w:t xml:space="preserve"> Los sujetos obligados no podrán emitir acuerdos de carácter general ni particular que clasifiquen </w:t>
      </w:r>
      <w:r w:rsidRPr="00AA4D94">
        <w:rPr>
          <w:rFonts w:ascii="Palatino Linotype" w:hAnsi="Palatino Linotype" w:cs="Arial"/>
          <w:bCs/>
          <w:i/>
          <w:noProof/>
          <w:sz w:val="22"/>
        </w:rPr>
        <w:t>documentos</w:t>
      </w:r>
      <w:r w:rsidRPr="00AA4D9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85380" w:rsidRPr="00AA4D94" w:rsidRDefault="00885380" w:rsidP="00885380">
      <w:pPr>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 xml:space="preserve">La clasificación de </w:t>
      </w:r>
      <w:r w:rsidRPr="00AA4D94">
        <w:rPr>
          <w:rFonts w:ascii="Palatino Linotype" w:hAnsi="Palatino Linotype" w:cs="Arial"/>
          <w:i/>
          <w:sz w:val="22"/>
        </w:rPr>
        <w:t>información</w:t>
      </w:r>
      <w:r w:rsidRPr="00AA4D94">
        <w:rPr>
          <w:rFonts w:ascii="Palatino Linotype" w:hAnsi="Palatino Linotype" w:cs="Arial"/>
          <w:i/>
          <w:sz w:val="22"/>
          <w:szCs w:val="22"/>
          <w:lang w:eastAsia="es-MX"/>
        </w:rPr>
        <w:t xml:space="preserve"> se realizará conforme a un análisis caso por caso, mediante la aplicación </w:t>
      </w:r>
      <w:r w:rsidRPr="00AA4D94">
        <w:rPr>
          <w:rFonts w:ascii="Palatino Linotype" w:hAnsi="Palatino Linotype" w:cs="Arial"/>
          <w:bCs/>
          <w:i/>
          <w:noProof/>
          <w:sz w:val="22"/>
        </w:rPr>
        <w:t>de</w:t>
      </w:r>
      <w:r w:rsidRPr="00AA4D94">
        <w:rPr>
          <w:rFonts w:ascii="Palatino Linotype" w:hAnsi="Palatino Linotype" w:cs="Arial"/>
          <w:i/>
          <w:sz w:val="22"/>
          <w:szCs w:val="22"/>
          <w:lang w:eastAsia="es-MX"/>
        </w:rPr>
        <w:t xml:space="preserve"> la prueba de daño y de interés público.</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Séptimo.</w:t>
      </w:r>
      <w:r w:rsidRPr="00AA4D94">
        <w:rPr>
          <w:rFonts w:ascii="Palatino Linotype" w:hAnsi="Palatino Linotype" w:cs="Arial"/>
          <w:i/>
          <w:sz w:val="22"/>
          <w:szCs w:val="22"/>
          <w:lang w:eastAsia="es-MX"/>
        </w:rPr>
        <w:t xml:space="preserve"> La </w:t>
      </w:r>
      <w:r w:rsidRPr="00AA4D94">
        <w:rPr>
          <w:rFonts w:ascii="Palatino Linotype" w:hAnsi="Palatino Linotype" w:cs="Arial"/>
          <w:i/>
          <w:sz w:val="22"/>
          <w:lang w:eastAsia="es-MX"/>
        </w:rPr>
        <w:t>clasificación</w:t>
      </w:r>
      <w:r w:rsidRPr="00AA4D94">
        <w:rPr>
          <w:rFonts w:ascii="Palatino Linotype" w:hAnsi="Palatino Linotype" w:cs="Arial"/>
          <w:i/>
          <w:sz w:val="22"/>
          <w:szCs w:val="22"/>
          <w:lang w:eastAsia="es-MX"/>
        </w:rPr>
        <w:t xml:space="preserve"> </w:t>
      </w:r>
      <w:r w:rsidRPr="00AA4D94">
        <w:rPr>
          <w:rFonts w:ascii="Palatino Linotype" w:hAnsi="Palatino Linotype" w:cs="Arial"/>
          <w:bCs/>
          <w:i/>
          <w:noProof/>
          <w:sz w:val="22"/>
        </w:rPr>
        <w:t>de</w:t>
      </w:r>
      <w:r w:rsidRPr="00AA4D94">
        <w:rPr>
          <w:rFonts w:ascii="Palatino Linotype" w:hAnsi="Palatino Linotype" w:cs="Arial"/>
          <w:i/>
          <w:sz w:val="22"/>
          <w:szCs w:val="22"/>
          <w:lang w:eastAsia="es-MX"/>
        </w:rPr>
        <w:t xml:space="preserve"> la </w:t>
      </w:r>
      <w:r w:rsidRPr="00AA4D94">
        <w:rPr>
          <w:rFonts w:ascii="Palatino Linotype" w:hAnsi="Palatino Linotype" w:cs="Arial"/>
          <w:i/>
          <w:sz w:val="22"/>
        </w:rPr>
        <w:t>información</w:t>
      </w:r>
      <w:r w:rsidRPr="00AA4D94">
        <w:rPr>
          <w:rFonts w:ascii="Palatino Linotype" w:hAnsi="Palatino Linotype" w:cs="Arial"/>
          <w:i/>
          <w:sz w:val="22"/>
          <w:szCs w:val="22"/>
          <w:lang w:eastAsia="es-MX"/>
        </w:rPr>
        <w:t xml:space="preserve"> se llevará a cabo en el momento en que:</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I.</w:t>
      </w:r>
      <w:r w:rsidRPr="00AA4D94">
        <w:rPr>
          <w:rFonts w:ascii="Palatino Linotype" w:hAnsi="Palatino Linotype" w:cs="Arial"/>
          <w:i/>
          <w:sz w:val="22"/>
          <w:szCs w:val="22"/>
          <w:lang w:eastAsia="es-MX"/>
        </w:rPr>
        <w:t xml:space="preserve"> Se reciba una </w:t>
      </w:r>
      <w:r w:rsidRPr="00AA4D94">
        <w:rPr>
          <w:rFonts w:ascii="Palatino Linotype" w:hAnsi="Palatino Linotype" w:cs="Arial"/>
          <w:i/>
          <w:sz w:val="22"/>
          <w:lang w:eastAsia="es-MX"/>
        </w:rPr>
        <w:t>solicitud</w:t>
      </w:r>
      <w:r w:rsidRPr="00AA4D94">
        <w:rPr>
          <w:rFonts w:ascii="Palatino Linotype" w:hAnsi="Palatino Linotype" w:cs="Arial"/>
          <w:i/>
          <w:sz w:val="22"/>
          <w:szCs w:val="22"/>
          <w:lang w:eastAsia="es-MX"/>
        </w:rPr>
        <w:t xml:space="preserve"> de acceso a la información;</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II.</w:t>
      </w:r>
      <w:r w:rsidRPr="00AA4D94">
        <w:rPr>
          <w:rFonts w:ascii="Palatino Linotype" w:hAnsi="Palatino Linotype" w:cs="Arial"/>
          <w:i/>
          <w:sz w:val="22"/>
          <w:szCs w:val="22"/>
          <w:lang w:eastAsia="es-MX"/>
        </w:rPr>
        <w:t xml:space="preserve"> Se determine </w:t>
      </w:r>
      <w:r w:rsidRPr="00AA4D94">
        <w:rPr>
          <w:rFonts w:ascii="Palatino Linotype" w:hAnsi="Palatino Linotype" w:cs="Arial"/>
          <w:bCs/>
          <w:i/>
          <w:noProof/>
          <w:sz w:val="22"/>
        </w:rPr>
        <w:t>mediante</w:t>
      </w:r>
      <w:r w:rsidRPr="00AA4D94">
        <w:rPr>
          <w:rFonts w:ascii="Palatino Linotype" w:hAnsi="Palatino Linotype" w:cs="Arial"/>
          <w:i/>
          <w:sz w:val="22"/>
          <w:szCs w:val="22"/>
          <w:lang w:eastAsia="es-MX"/>
        </w:rPr>
        <w:t xml:space="preserve"> resolución de autoridad competente, o</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III.</w:t>
      </w:r>
      <w:r w:rsidRPr="00AA4D94">
        <w:rPr>
          <w:rFonts w:ascii="Palatino Linotype" w:hAnsi="Palatino Linotype" w:cs="Arial"/>
          <w:i/>
          <w:sz w:val="22"/>
          <w:szCs w:val="22"/>
          <w:lang w:eastAsia="es-MX"/>
        </w:rPr>
        <w:t xml:space="preserve"> Se generen </w:t>
      </w:r>
      <w:r w:rsidRPr="00AA4D94">
        <w:rPr>
          <w:rFonts w:ascii="Palatino Linotype" w:hAnsi="Palatino Linotype" w:cs="Arial"/>
          <w:bCs/>
          <w:i/>
          <w:noProof/>
          <w:sz w:val="22"/>
        </w:rPr>
        <w:t>versiones</w:t>
      </w:r>
      <w:r w:rsidRPr="00AA4D94">
        <w:rPr>
          <w:rFonts w:ascii="Palatino Linotype" w:hAnsi="Palatino Linotype" w:cs="Arial"/>
          <w:i/>
          <w:sz w:val="22"/>
          <w:szCs w:val="22"/>
          <w:lang w:eastAsia="es-MX"/>
        </w:rPr>
        <w:t xml:space="preserve"> públicas para dar cumplimiento a las obligaciones de transparencia </w:t>
      </w:r>
      <w:r w:rsidRPr="00AA4D94">
        <w:rPr>
          <w:rFonts w:ascii="Palatino Linotype" w:hAnsi="Palatino Linotype" w:cs="Arial"/>
          <w:i/>
          <w:sz w:val="22"/>
          <w:lang w:eastAsia="es-MX"/>
        </w:rPr>
        <w:t>previstas</w:t>
      </w:r>
      <w:r w:rsidRPr="00AA4D94">
        <w:rPr>
          <w:rFonts w:ascii="Palatino Linotype" w:hAnsi="Palatino Linotype" w:cs="Arial"/>
          <w:i/>
          <w:sz w:val="22"/>
          <w:szCs w:val="22"/>
          <w:lang w:eastAsia="es-MX"/>
        </w:rPr>
        <w:t xml:space="preserve"> en la Ley General, la Ley Federal y las correspondientes de las entidades federativas.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 xml:space="preserve">Los titulares de las áreas deberán revisar la clasificación al momento de la recepción de una solicitud de </w:t>
      </w:r>
      <w:r w:rsidRPr="00AA4D94">
        <w:rPr>
          <w:rFonts w:ascii="Palatino Linotype" w:hAnsi="Palatino Linotype" w:cs="Arial"/>
          <w:bCs/>
          <w:i/>
          <w:noProof/>
          <w:sz w:val="22"/>
        </w:rPr>
        <w:t>acceso</w:t>
      </w:r>
      <w:r w:rsidRPr="00AA4D94">
        <w:rPr>
          <w:rFonts w:ascii="Palatino Linotype" w:hAnsi="Palatino Linotype" w:cs="Arial"/>
          <w:i/>
          <w:sz w:val="22"/>
          <w:szCs w:val="22"/>
          <w:lang w:eastAsia="es-MX"/>
        </w:rPr>
        <w:t xml:space="preserve"> a la información, para verificar si encuadra en una causal de reserva o de confidencialidad.</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Octavo.</w:t>
      </w:r>
      <w:r w:rsidRPr="00AA4D94">
        <w:rPr>
          <w:rFonts w:ascii="Palatino Linotype" w:hAnsi="Palatino Linotype" w:cs="Arial"/>
          <w:i/>
          <w:sz w:val="22"/>
          <w:szCs w:val="22"/>
          <w:lang w:eastAsia="es-MX"/>
        </w:rPr>
        <w:t xml:space="preserve"> Para fundar la clasificación de la información se debe señalar el artículo, fracción, inciso, </w:t>
      </w:r>
      <w:r w:rsidRPr="00AA4D94">
        <w:rPr>
          <w:rFonts w:ascii="Palatino Linotype" w:hAnsi="Palatino Linotype" w:cs="Arial"/>
          <w:i/>
          <w:sz w:val="22"/>
          <w:lang w:eastAsia="es-MX"/>
        </w:rPr>
        <w:t>párrafo</w:t>
      </w:r>
      <w:r w:rsidRPr="00AA4D94">
        <w:rPr>
          <w:rFonts w:ascii="Palatino Linotype" w:hAnsi="Palatino Linotype" w:cs="Arial"/>
          <w:i/>
          <w:sz w:val="22"/>
          <w:szCs w:val="22"/>
          <w:lang w:eastAsia="es-MX"/>
        </w:rPr>
        <w:t xml:space="preserve"> o numeral de la ley o tratado internacional suscrito por el Estado mexicano que </w:t>
      </w:r>
      <w:r w:rsidRPr="00AA4D94">
        <w:rPr>
          <w:rFonts w:ascii="Palatino Linotype" w:hAnsi="Palatino Linotype" w:cs="Arial"/>
          <w:bCs/>
          <w:i/>
          <w:noProof/>
          <w:sz w:val="22"/>
        </w:rPr>
        <w:t>expresamente</w:t>
      </w:r>
      <w:r w:rsidRPr="00AA4D94">
        <w:rPr>
          <w:rFonts w:ascii="Palatino Linotype" w:hAnsi="Palatino Linotype" w:cs="Arial"/>
          <w:i/>
          <w:sz w:val="22"/>
          <w:szCs w:val="22"/>
          <w:lang w:eastAsia="es-MX"/>
        </w:rPr>
        <w:t xml:space="preserve"> le otorga el carácter de reservada o confidencial.</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bCs/>
          <w:i/>
          <w:noProof/>
          <w:sz w:val="22"/>
        </w:rPr>
      </w:pPr>
      <w:r w:rsidRPr="00AA4D94">
        <w:rPr>
          <w:rFonts w:ascii="Palatino Linotype" w:hAnsi="Palatino Linotype" w:cs="Arial"/>
          <w:i/>
          <w:sz w:val="22"/>
          <w:szCs w:val="22"/>
          <w:lang w:eastAsia="es-MX"/>
        </w:rPr>
        <w:t xml:space="preserve">Para </w:t>
      </w:r>
      <w:r w:rsidRPr="00AA4D94">
        <w:rPr>
          <w:rFonts w:ascii="Palatino Linotype" w:hAnsi="Palatino Linotype" w:cs="Arial"/>
          <w:bCs/>
          <w:i/>
          <w:noProof/>
          <w:sz w:val="22"/>
        </w:rPr>
        <w:t xml:space="preserve">motivar la clasificación se deberán señalar las razones o circunstancias especiales que lo </w:t>
      </w:r>
      <w:r w:rsidRPr="00AA4D94">
        <w:rPr>
          <w:rFonts w:ascii="Palatino Linotype" w:hAnsi="Palatino Linotype" w:cs="Arial"/>
          <w:i/>
          <w:sz w:val="22"/>
          <w:szCs w:val="22"/>
          <w:lang w:eastAsia="es-MX"/>
        </w:rPr>
        <w:t>llevaron</w:t>
      </w:r>
      <w:r w:rsidRPr="00AA4D94">
        <w:rPr>
          <w:rFonts w:ascii="Palatino Linotype" w:hAnsi="Palatino Linotype" w:cs="Arial"/>
          <w:bCs/>
          <w:i/>
          <w:noProof/>
          <w:sz w:val="22"/>
        </w:rPr>
        <w:t xml:space="preserve"> a concluir que el caso particular se ajusta al supuesto previsto por la norma legal invocada como fundamento.</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bCs/>
          <w:i/>
          <w:noProof/>
          <w:sz w:val="22"/>
        </w:rPr>
      </w:pPr>
      <w:r w:rsidRPr="00AA4D94">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AA4D94">
        <w:rPr>
          <w:rFonts w:ascii="Palatino Linotype" w:hAnsi="Palatino Linotype" w:cs="Arial"/>
          <w:i/>
          <w:sz w:val="22"/>
          <w:szCs w:val="22"/>
          <w:lang w:eastAsia="es-MX"/>
        </w:rPr>
        <w:t>de</w:t>
      </w:r>
      <w:r w:rsidRPr="00AA4D94">
        <w:rPr>
          <w:rFonts w:ascii="Palatino Linotype" w:hAnsi="Palatino Linotype" w:cs="Arial"/>
          <w:bCs/>
          <w:i/>
          <w:noProof/>
          <w:sz w:val="22"/>
        </w:rPr>
        <w:t xml:space="preserve"> </w:t>
      </w:r>
      <w:r w:rsidRPr="00AA4D94">
        <w:rPr>
          <w:rFonts w:ascii="Palatino Linotype" w:hAnsi="Palatino Linotype" w:cs="Arial"/>
          <w:i/>
          <w:sz w:val="22"/>
          <w:szCs w:val="22"/>
          <w:lang w:eastAsia="es-MX"/>
        </w:rPr>
        <w:t>reserva</w:t>
      </w:r>
      <w:r w:rsidRPr="00AA4D94">
        <w:rPr>
          <w:rFonts w:ascii="Palatino Linotype" w:hAnsi="Palatino Linotype" w:cs="Arial"/>
          <w:bCs/>
          <w:i/>
          <w:noProof/>
          <w:sz w:val="22"/>
        </w:rPr>
        <w:t>.</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bCs/>
          <w:i/>
          <w:noProof/>
          <w:sz w:val="22"/>
        </w:rPr>
      </w:pPr>
      <w:r w:rsidRPr="00AA4D94">
        <w:rPr>
          <w:rFonts w:ascii="Palatino Linotype" w:hAnsi="Palatino Linotype" w:cs="Arial"/>
          <w:i/>
          <w:sz w:val="22"/>
          <w:szCs w:val="22"/>
          <w:lang w:eastAsia="es-MX"/>
        </w:rPr>
        <w:t>Tratándose</w:t>
      </w:r>
      <w:r w:rsidRPr="00AA4D94">
        <w:rPr>
          <w:rFonts w:ascii="Palatino Linotype" w:hAnsi="Palatino Linotype" w:cs="Arial"/>
          <w:bCs/>
          <w:i/>
          <w:noProof/>
          <w:sz w:val="22"/>
        </w:rPr>
        <w:t xml:space="preserve"> de información clasificada como confidencial respecto de la cual se haya </w:t>
      </w:r>
      <w:r w:rsidRPr="00AA4D94">
        <w:rPr>
          <w:rFonts w:ascii="Palatino Linotype" w:hAnsi="Palatino Linotype" w:cs="Arial"/>
          <w:i/>
          <w:sz w:val="22"/>
          <w:lang w:eastAsia="es-MX"/>
        </w:rPr>
        <w:t>determinado</w:t>
      </w:r>
      <w:r w:rsidRPr="00AA4D94">
        <w:rPr>
          <w:rFonts w:ascii="Palatino Linotype" w:hAnsi="Palatino Linotype" w:cs="Arial"/>
          <w:bCs/>
          <w:i/>
          <w:noProof/>
          <w:sz w:val="22"/>
        </w:rPr>
        <w:t xml:space="preserve"> </w:t>
      </w:r>
      <w:r w:rsidRPr="00AA4D94">
        <w:rPr>
          <w:rFonts w:ascii="Palatino Linotype" w:hAnsi="Palatino Linotype" w:cs="Arial"/>
          <w:i/>
          <w:sz w:val="22"/>
          <w:szCs w:val="22"/>
          <w:lang w:eastAsia="es-MX"/>
        </w:rPr>
        <w:t>su</w:t>
      </w:r>
      <w:r w:rsidRPr="00AA4D9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Cs/>
          <w:i/>
          <w:noProof/>
          <w:sz w:val="22"/>
        </w:rPr>
        <w:t>Los documentos contenidos</w:t>
      </w:r>
      <w:r w:rsidRPr="00AA4D94">
        <w:rPr>
          <w:rFonts w:ascii="Palatino Linotype" w:hAnsi="Palatino Linotype" w:cs="Arial"/>
          <w:i/>
          <w:sz w:val="22"/>
          <w:szCs w:val="22"/>
          <w:lang w:eastAsia="es-MX"/>
        </w:rPr>
        <w:t xml:space="preserve"> en los archivos históricos y los identificados como históricos confidenciales no </w:t>
      </w:r>
      <w:r w:rsidRPr="00AA4D94">
        <w:rPr>
          <w:rFonts w:ascii="Palatino Linotype" w:hAnsi="Palatino Linotype" w:cs="Arial"/>
          <w:i/>
          <w:sz w:val="22"/>
          <w:lang w:eastAsia="es-MX"/>
        </w:rPr>
        <w:t>serán</w:t>
      </w:r>
      <w:r w:rsidRPr="00AA4D94">
        <w:rPr>
          <w:rFonts w:ascii="Palatino Linotype" w:hAnsi="Palatino Linotype" w:cs="Arial"/>
          <w:i/>
          <w:sz w:val="22"/>
          <w:szCs w:val="22"/>
          <w:lang w:eastAsia="es-MX"/>
        </w:rPr>
        <w:t xml:space="preserve"> susceptibles de clasificación como reservados.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Noveno.</w:t>
      </w:r>
      <w:r w:rsidRPr="00AA4D9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Décimo.</w:t>
      </w:r>
      <w:r w:rsidRPr="00AA4D94">
        <w:rPr>
          <w:rFonts w:ascii="Palatino Linotype" w:hAnsi="Palatino Linotype" w:cs="Arial"/>
          <w:i/>
          <w:sz w:val="22"/>
          <w:szCs w:val="22"/>
          <w:lang w:eastAsia="es-MX"/>
        </w:rPr>
        <w:t xml:space="preserve"> Los titulares de las áreas, deberán tener conocimiento y llevar un registro del personal que, por la </w:t>
      </w:r>
      <w:r w:rsidRPr="00AA4D94">
        <w:rPr>
          <w:rFonts w:ascii="Palatino Linotype" w:hAnsi="Palatino Linotype" w:cs="Arial"/>
          <w:i/>
          <w:sz w:val="22"/>
          <w:lang w:eastAsia="es-MX"/>
        </w:rPr>
        <w:t>naturaleza</w:t>
      </w:r>
      <w:r w:rsidRPr="00AA4D94">
        <w:rPr>
          <w:rFonts w:ascii="Palatino Linotype" w:hAnsi="Palatino Linotype" w:cs="Arial"/>
          <w:i/>
          <w:sz w:val="22"/>
          <w:szCs w:val="22"/>
          <w:lang w:eastAsia="es-MX"/>
        </w:rPr>
        <w:t xml:space="preserve"> de sus atribuciones, tenga acceso a los </w:t>
      </w:r>
      <w:r w:rsidRPr="00AA4D94">
        <w:rPr>
          <w:rFonts w:ascii="Palatino Linotype" w:hAnsi="Palatino Linotype" w:cs="Arial"/>
          <w:i/>
          <w:sz w:val="22"/>
        </w:rPr>
        <w:t>documentos</w:t>
      </w:r>
      <w:r w:rsidRPr="00AA4D9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A4D94">
        <w:rPr>
          <w:rFonts w:ascii="Palatino Linotype" w:hAnsi="Palatino Linotype" w:cs="Arial"/>
          <w:i/>
          <w:sz w:val="22"/>
        </w:rPr>
        <w:t>que</w:t>
      </w:r>
      <w:r w:rsidRPr="00AA4D94">
        <w:rPr>
          <w:rFonts w:ascii="Palatino Linotype" w:hAnsi="Palatino Linotype" w:cs="Arial"/>
          <w:i/>
          <w:sz w:val="22"/>
          <w:szCs w:val="22"/>
          <w:lang w:eastAsia="es-MX"/>
        </w:rPr>
        <w:t xml:space="preserve"> rija la actuación del sujeto obligado.</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Décimo primero.</w:t>
      </w:r>
      <w:r w:rsidRPr="00AA4D9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85380" w:rsidRPr="00AA4D94" w:rsidRDefault="00885380" w:rsidP="00885380">
      <w:pPr>
        <w:autoSpaceDE w:val="0"/>
        <w:autoSpaceDN w:val="0"/>
        <w:adjustRightInd w:val="0"/>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w:t>
      </w:r>
    </w:p>
    <w:p w:rsidR="00885380" w:rsidRPr="00AA4D94" w:rsidRDefault="00885380" w:rsidP="00885380">
      <w:pPr>
        <w:ind w:left="709" w:right="709"/>
        <w:jc w:val="center"/>
        <w:rPr>
          <w:rFonts w:ascii="Palatino Linotype" w:hAnsi="Palatino Linotype" w:cs="Arial"/>
          <w:b/>
          <w:i/>
          <w:sz w:val="22"/>
          <w:szCs w:val="22"/>
          <w:lang w:eastAsia="es-MX"/>
        </w:rPr>
      </w:pPr>
      <w:r w:rsidRPr="00AA4D94">
        <w:rPr>
          <w:rFonts w:ascii="Palatino Linotype" w:hAnsi="Palatino Linotype" w:cs="Arial"/>
          <w:b/>
          <w:i/>
          <w:sz w:val="22"/>
          <w:szCs w:val="22"/>
          <w:lang w:eastAsia="es-MX"/>
        </w:rPr>
        <w:t>CAPÍTULO VIII</w:t>
      </w:r>
    </w:p>
    <w:p w:rsidR="00885380" w:rsidRPr="00AA4D94" w:rsidRDefault="00885380" w:rsidP="00885380">
      <w:pPr>
        <w:ind w:left="709" w:right="709"/>
        <w:jc w:val="center"/>
        <w:rPr>
          <w:rFonts w:ascii="Palatino Linotype" w:hAnsi="Palatino Linotype" w:cs="Arial"/>
          <w:b/>
          <w:i/>
          <w:sz w:val="22"/>
          <w:szCs w:val="22"/>
          <w:lang w:eastAsia="es-MX"/>
        </w:rPr>
      </w:pPr>
      <w:r w:rsidRPr="00AA4D94">
        <w:rPr>
          <w:rFonts w:ascii="Palatino Linotype" w:hAnsi="Palatino Linotype" w:cs="Arial"/>
          <w:b/>
          <w:i/>
          <w:sz w:val="22"/>
          <w:szCs w:val="22"/>
          <w:lang w:eastAsia="es-MX"/>
        </w:rPr>
        <w:t>DE LA LEYENDA DE CLASIFICACIÓN</w:t>
      </w:r>
    </w:p>
    <w:p w:rsidR="00885380" w:rsidRPr="00AA4D94" w:rsidRDefault="00885380" w:rsidP="00885380">
      <w:pPr>
        <w:spacing w:before="160" w:after="16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 xml:space="preserve">Quincuagésimo. </w:t>
      </w:r>
      <w:r w:rsidRPr="00AA4D9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A4D94">
        <w:rPr>
          <w:rFonts w:ascii="Palatino Linotype" w:hAnsi="Palatino Linotype" w:cs="Arial"/>
          <w:i/>
          <w:sz w:val="22"/>
          <w:szCs w:val="22"/>
          <w:lang w:eastAsia="es-MX"/>
        </w:rPr>
        <w:t xml:space="preserve"> para señalar la clasificación de documentos o expedientes, sin perjuicio de que establezcan los propios.</w:t>
      </w:r>
    </w:p>
    <w:p w:rsidR="00885380" w:rsidRPr="00AA4D94" w:rsidRDefault="00885380" w:rsidP="00885380">
      <w:pPr>
        <w:spacing w:before="160" w:after="16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w:t>
      </w:r>
    </w:p>
    <w:p w:rsidR="00885380" w:rsidRPr="00AA4D94" w:rsidRDefault="00885380" w:rsidP="00885380">
      <w:pPr>
        <w:spacing w:before="160" w:after="160"/>
        <w:ind w:left="709" w:right="709"/>
        <w:jc w:val="both"/>
        <w:rPr>
          <w:rFonts w:ascii="Palatino Linotype" w:hAnsi="Palatino Linotype" w:cs="Arial"/>
          <w:i/>
          <w:sz w:val="22"/>
          <w:szCs w:val="22"/>
          <w:lang w:eastAsia="es-MX"/>
        </w:rPr>
      </w:pPr>
      <w:r w:rsidRPr="00AA4D94">
        <w:rPr>
          <w:rFonts w:ascii="Palatino Linotype" w:hAnsi="Palatino Linotype" w:cs="Arial"/>
          <w:b/>
          <w:i/>
          <w:sz w:val="22"/>
          <w:szCs w:val="22"/>
          <w:lang w:eastAsia="es-MX"/>
        </w:rPr>
        <w:t xml:space="preserve">Quincuagésimo tercero. </w:t>
      </w:r>
      <w:r w:rsidRPr="00AA4D94">
        <w:rPr>
          <w:rFonts w:ascii="Palatino Linotype" w:hAnsi="Palatino Linotype" w:cs="Arial"/>
          <w:b/>
          <w:i/>
          <w:sz w:val="22"/>
          <w:szCs w:val="22"/>
          <w:u w:val="single"/>
          <w:lang w:eastAsia="es-MX"/>
        </w:rPr>
        <w:t>El formato para señalar la clasificación parcial de un documento</w:t>
      </w:r>
      <w:r w:rsidRPr="00AA4D94">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885380" w:rsidRPr="00AA4D94" w:rsidTr="004E6868">
        <w:tc>
          <w:tcPr>
            <w:tcW w:w="1129" w:type="dxa"/>
            <w:tcBorders>
              <w:top w:val="nil"/>
              <w:left w:val="nil"/>
              <w:bottom w:val="single" w:sz="4" w:space="0" w:color="auto"/>
              <w:right w:val="single" w:sz="4" w:space="0" w:color="auto"/>
            </w:tcBorders>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885380" w:rsidRPr="00AA4D94" w:rsidRDefault="00885380" w:rsidP="004E6868">
            <w:pPr>
              <w:jc w:val="center"/>
              <w:rPr>
                <w:rFonts w:ascii="Palatino Linotype" w:hAnsi="Palatino Linotype"/>
                <w:b/>
                <w:i/>
                <w:sz w:val="22"/>
                <w:szCs w:val="22"/>
              </w:rPr>
            </w:pPr>
            <w:r w:rsidRPr="00AA4D94">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885380" w:rsidRPr="00AA4D94" w:rsidRDefault="00885380" w:rsidP="004E6868">
            <w:pPr>
              <w:jc w:val="center"/>
              <w:rPr>
                <w:rFonts w:ascii="Palatino Linotype" w:hAnsi="Palatino Linotype"/>
                <w:b/>
                <w:i/>
                <w:sz w:val="22"/>
                <w:szCs w:val="22"/>
              </w:rPr>
            </w:pPr>
            <w:r w:rsidRPr="00AA4D94">
              <w:rPr>
                <w:rFonts w:ascii="Palatino Linotype" w:hAnsi="Palatino Linotype"/>
                <w:b/>
                <w:i/>
                <w:sz w:val="22"/>
                <w:szCs w:val="22"/>
              </w:rPr>
              <w:t>Dónde:</w:t>
            </w:r>
          </w:p>
        </w:tc>
      </w:tr>
      <w:tr w:rsidR="00885380" w:rsidRPr="00AA4D94" w:rsidTr="004E6868">
        <w:tc>
          <w:tcPr>
            <w:tcW w:w="1129" w:type="dxa"/>
            <w:vMerge w:val="restart"/>
            <w:tcBorders>
              <w:top w:val="single" w:sz="4" w:space="0" w:color="auto"/>
            </w:tcBorders>
            <w:shd w:val="clear" w:color="auto" w:fill="auto"/>
            <w:vAlign w:val="center"/>
          </w:tcPr>
          <w:p w:rsidR="00885380" w:rsidRPr="00AA4D94" w:rsidRDefault="00885380" w:rsidP="004E6868">
            <w:pPr>
              <w:jc w:val="center"/>
              <w:rPr>
                <w:rFonts w:ascii="Palatino Linotype" w:hAnsi="Palatino Linotype" w:cs="Arial"/>
                <w:b/>
                <w:i/>
                <w:sz w:val="22"/>
                <w:szCs w:val="22"/>
                <w:lang w:eastAsia="es-MX"/>
              </w:rPr>
            </w:pPr>
            <w:r w:rsidRPr="00AA4D94">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anotará la fecha en la que el Comité de Transparencia confirmó la clasificación del documento, en su caso.</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Área</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señalará el nombre del área del cual es titular quien clasifica.</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Información reservada</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Periodo de reserva</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anotará el número de años o meses por los que se mantendrá el documento o las partes del mismo como reservado.</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Fundamento legal</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Ampliación del periodo de reserva</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Confidencial</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Fundamento legal</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Rúbrica del titular del área</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Rúbrica autógrafa de quien clasifica.</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Fecha de desclasificación</w:t>
            </w:r>
          </w:p>
        </w:tc>
        <w:tc>
          <w:tcPr>
            <w:tcW w:w="4677" w:type="dxa"/>
            <w:shd w:val="clear" w:color="auto" w:fill="auto"/>
          </w:tcPr>
          <w:p w:rsidR="00885380" w:rsidRPr="00AA4D94" w:rsidRDefault="00885380" w:rsidP="004E6868">
            <w:pPr>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Se anotará la fecha en que se desclasifica el documento.</w:t>
            </w:r>
          </w:p>
        </w:tc>
      </w:tr>
      <w:tr w:rsidR="00885380" w:rsidRPr="00AA4D94" w:rsidTr="004E6868">
        <w:tc>
          <w:tcPr>
            <w:tcW w:w="1129" w:type="dxa"/>
            <w:vMerge/>
            <w:shd w:val="clear" w:color="auto" w:fill="auto"/>
          </w:tcPr>
          <w:p w:rsidR="00885380" w:rsidRPr="00AA4D94" w:rsidRDefault="00885380" w:rsidP="004E6868">
            <w:pPr>
              <w:jc w:val="both"/>
              <w:rPr>
                <w:rFonts w:ascii="Palatino Linotype" w:hAnsi="Palatino Linotype" w:cs="Arial"/>
                <w:i/>
                <w:sz w:val="22"/>
                <w:szCs w:val="22"/>
                <w:lang w:eastAsia="es-MX"/>
              </w:rPr>
            </w:pPr>
          </w:p>
        </w:tc>
        <w:tc>
          <w:tcPr>
            <w:tcW w:w="1990" w:type="dxa"/>
            <w:shd w:val="clear" w:color="auto" w:fill="auto"/>
          </w:tcPr>
          <w:p w:rsidR="00885380" w:rsidRPr="00AA4D94" w:rsidRDefault="00885380" w:rsidP="004E6868">
            <w:pPr>
              <w:jc w:val="center"/>
              <w:rPr>
                <w:rFonts w:ascii="Palatino Linotype" w:hAnsi="Palatino Linotype" w:cs="Arial"/>
                <w:i/>
                <w:sz w:val="22"/>
                <w:szCs w:val="22"/>
                <w:lang w:eastAsia="es-MX"/>
              </w:rPr>
            </w:pPr>
            <w:r w:rsidRPr="00AA4D94">
              <w:rPr>
                <w:rFonts w:ascii="Palatino Linotype" w:hAnsi="Palatino Linotype" w:cs="Arial"/>
                <w:i/>
                <w:sz w:val="22"/>
                <w:szCs w:val="22"/>
                <w:lang w:eastAsia="es-MX"/>
              </w:rPr>
              <w:t>Rúbrica y cargo del servidor público</w:t>
            </w:r>
          </w:p>
        </w:tc>
        <w:tc>
          <w:tcPr>
            <w:tcW w:w="4677" w:type="dxa"/>
            <w:shd w:val="clear" w:color="auto" w:fill="auto"/>
            <w:vAlign w:val="center"/>
          </w:tcPr>
          <w:p w:rsidR="00885380" w:rsidRPr="00AA4D94" w:rsidRDefault="00885380" w:rsidP="004E6868">
            <w:pPr>
              <w:rPr>
                <w:rFonts w:ascii="Palatino Linotype" w:hAnsi="Palatino Linotype" w:cs="Arial"/>
                <w:i/>
                <w:sz w:val="22"/>
                <w:szCs w:val="22"/>
                <w:lang w:eastAsia="es-MX"/>
              </w:rPr>
            </w:pPr>
            <w:r w:rsidRPr="00AA4D94">
              <w:rPr>
                <w:rFonts w:ascii="Palatino Linotype" w:hAnsi="Palatino Linotype" w:cs="Arial"/>
                <w:i/>
                <w:sz w:val="22"/>
                <w:szCs w:val="22"/>
                <w:lang w:eastAsia="es-MX"/>
              </w:rPr>
              <w:t>Rúbrica autógrafa de quien desclasifica.</w:t>
            </w:r>
          </w:p>
        </w:tc>
      </w:tr>
    </w:tbl>
    <w:p w:rsidR="00885380" w:rsidRPr="00AA4D94" w:rsidRDefault="00885380" w:rsidP="00885380">
      <w:pPr>
        <w:spacing w:before="120" w:after="120"/>
        <w:ind w:left="709" w:right="709"/>
        <w:jc w:val="both"/>
        <w:rPr>
          <w:rFonts w:ascii="Palatino Linotype" w:hAnsi="Palatino Linotype" w:cs="Arial"/>
          <w:i/>
          <w:sz w:val="22"/>
          <w:szCs w:val="22"/>
          <w:lang w:eastAsia="es-MX"/>
        </w:rPr>
      </w:pPr>
      <w:r w:rsidRPr="00AA4D94">
        <w:rPr>
          <w:rFonts w:ascii="Palatino Linotype" w:hAnsi="Palatino Linotype" w:cs="Arial"/>
          <w:i/>
          <w:sz w:val="22"/>
          <w:szCs w:val="22"/>
          <w:lang w:eastAsia="es-MX"/>
        </w:rPr>
        <w:t>…”</w:t>
      </w:r>
    </w:p>
    <w:p w:rsidR="00885380" w:rsidRPr="00AA4D94" w:rsidRDefault="00885380" w:rsidP="00885380">
      <w:pPr>
        <w:spacing w:before="120" w:after="120"/>
        <w:ind w:left="709" w:right="709"/>
        <w:jc w:val="both"/>
        <w:rPr>
          <w:rFonts w:ascii="Palatino Linotype" w:hAnsi="Palatino Linotype" w:cs="Arial"/>
          <w:sz w:val="22"/>
          <w:szCs w:val="22"/>
          <w:lang w:eastAsia="es-MX"/>
        </w:rPr>
      </w:pPr>
      <w:r w:rsidRPr="00AA4D94">
        <w:rPr>
          <w:rFonts w:ascii="Palatino Linotype" w:hAnsi="Palatino Linotype" w:cs="Arial"/>
          <w:sz w:val="22"/>
          <w:szCs w:val="22"/>
          <w:lang w:eastAsia="es-MX"/>
        </w:rPr>
        <w:t>(Énfasis Añadido)</w:t>
      </w:r>
    </w:p>
    <w:p w:rsidR="00885380" w:rsidRPr="00AA4D94" w:rsidRDefault="00885380" w:rsidP="00885380">
      <w:pPr>
        <w:spacing w:before="360" w:after="240" w:line="360" w:lineRule="auto"/>
        <w:jc w:val="both"/>
        <w:rPr>
          <w:rFonts w:ascii="Palatino Linotype" w:hAnsi="Palatino Linotype" w:cs="Arial"/>
        </w:rPr>
      </w:pPr>
      <w:r w:rsidRPr="00AA4D94">
        <w:rPr>
          <w:rFonts w:ascii="Palatino Linotype" w:eastAsia="Arial Unicode MS" w:hAnsi="Palatino Linotype" w:cs="Arial"/>
        </w:rPr>
        <w:lastRenderedPageBreak/>
        <w:t>Por tanto, dicho Acuerdo debe</w:t>
      </w:r>
      <w:r w:rsidRPr="00AA4D94">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885380" w:rsidRPr="00AA4D94" w:rsidRDefault="00885380" w:rsidP="00885380">
      <w:pPr>
        <w:widowControl w:val="0"/>
        <w:autoSpaceDE w:val="0"/>
        <w:autoSpaceDN w:val="0"/>
        <w:adjustRightInd w:val="0"/>
        <w:ind w:left="709" w:right="757"/>
        <w:jc w:val="both"/>
        <w:rPr>
          <w:rFonts w:ascii="Palatino Linotype" w:hAnsi="Palatino Linotype" w:cs="Arial"/>
          <w:i/>
          <w:sz w:val="22"/>
        </w:rPr>
      </w:pPr>
      <w:r w:rsidRPr="00AA4D94">
        <w:rPr>
          <w:rFonts w:ascii="Palatino Linotype" w:hAnsi="Palatino Linotype" w:cs="Arial"/>
          <w:i/>
          <w:sz w:val="22"/>
        </w:rPr>
        <w:t>“</w:t>
      </w:r>
      <w:r w:rsidRPr="00AA4D94">
        <w:rPr>
          <w:rFonts w:ascii="Palatino Linotype" w:hAnsi="Palatino Linotype" w:cs="Arial"/>
          <w:b/>
          <w:i/>
          <w:sz w:val="22"/>
        </w:rPr>
        <w:t>Artículo 135</w:t>
      </w:r>
      <w:r w:rsidRPr="00AA4D94">
        <w:rPr>
          <w:rFonts w:ascii="Palatino Linotype" w:hAnsi="Palatino Linotype" w:cs="Arial"/>
          <w:i/>
          <w:sz w:val="22"/>
        </w:rPr>
        <w:t>. Los lineamientos generales que se emitan al respecto en materia de clasificación de la información reservada y confidencial y, para la elaboración de versiones públicas, serán de observancia obligatoria para los sujetos obligados. …”</w:t>
      </w:r>
    </w:p>
    <w:p w:rsidR="00885380" w:rsidRPr="00AA4D94" w:rsidRDefault="00885380" w:rsidP="00E76891">
      <w:pPr>
        <w:spacing w:before="240" w:after="240" w:line="360" w:lineRule="auto"/>
        <w:jc w:val="both"/>
        <w:rPr>
          <w:rFonts w:ascii="Palatino Linotype" w:eastAsia="Arial Unicode MS" w:hAnsi="Palatino Linotype" w:cs="Arial"/>
          <w:lang w:val="es-ES"/>
        </w:rPr>
      </w:pPr>
      <w:r w:rsidRPr="00AA4D94">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w:t>
      </w:r>
      <w:r w:rsidRPr="00AA4D94">
        <w:rPr>
          <w:rFonts w:ascii="Palatino Linotype" w:hAnsi="Palatino Linotype" w:cs="Arial"/>
        </w:rPr>
        <w:t>fracción</w:t>
      </w:r>
      <w:r w:rsidRPr="00AA4D94">
        <w:rPr>
          <w:rFonts w:ascii="Palatino Linotype" w:eastAsia="Arial Unicode MS" w:hAnsi="Palatino Linotype" w:cs="Arial"/>
          <w:lang w:val="es-ES"/>
        </w:rPr>
        <w:t xml:space="preserve"> XI, de la Ley de Protección de Datos Personales en Posesión de Sujetos Obligados del Estado de México y Municipios; por consiguiente, se trata de información </w:t>
      </w:r>
      <w:r w:rsidRPr="00AA4D94">
        <w:rPr>
          <w:rFonts w:ascii="Palatino Linotype" w:hAnsi="Palatino Linotype" w:cs="Arial"/>
          <w:lang w:val="es-ES"/>
        </w:rPr>
        <w:t>confidencial</w:t>
      </w:r>
      <w:r w:rsidRPr="00AA4D94">
        <w:rPr>
          <w:rFonts w:ascii="Palatino Linotype" w:eastAsia="Arial Unicode MS" w:hAnsi="Palatino Linotype" w:cs="Arial"/>
          <w:lang w:val="es-ES"/>
        </w:rPr>
        <w:t xml:space="preserve">, que debe ser protegida por </w:t>
      </w:r>
      <w:r w:rsidRPr="00AA4D94">
        <w:rPr>
          <w:rFonts w:ascii="Palatino Linotype" w:eastAsia="Arial Unicode MS" w:hAnsi="Palatino Linotype" w:cs="Arial"/>
          <w:b/>
          <w:lang w:eastAsia="es-MX"/>
        </w:rPr>
        <w:t>EL SUJETO OBLIGADO</w:t>
      </w:r>
      <w:r w:rsidRPr="00AA4D94">
        <w:rPr>
          <w:rFonts w:ascii="Palatino Linotype" w:eastAsia="Arial Unicode MS" w:hAnsi="Palatino Linotype" w:cs="Arial"/>
          <w:lang w:val="es-ES"/>
        </w:rPr>
        <w:t xml:space="preserve">, en ese contexto, todo dato personal susceptible de clasificación debe ser protegido. </w:t>
      </w:r>
    </w:p>
    <w:p w:rsidR="00885380" w:rsidRPr="00AA4D94" w:rsidRDefault="00885380" w:rsidP="00E76891">
      <w:pPr>
        <w:spacing w:before="240" w:after="240" w:line="360" w:lineRule="auto"/>
        <w:jc w:val="both"/>
        <w:rPr>
          <w:rFonts w:ascii="Palatino Linotype" w:hAnsi="Palatino Linotype" w:cs="Arial"/>
          <w:lang w:val="es-ES"/>
        </w:rPr>
      </w:pPr>
      <w:r w:rsidRPr="00AA4D94">
        <w:rPr>
          <w:rFonts w:ascii="Palatino Linotype" w:hAnsi="Palatino Linotype" w:cs="Arial"/>
          <w:lang w:val="es-ES"/>
        </w:rPr>
        <w:t xml:space="preserve">Robustece lo anterior, </w:t>
      </w:r>
      <w:r w:rsidRPr="00AA4D94">
        <w:rPr>
          <w:rFonts w:ascii="Palatino Linotype" w:eastAsia="Arial Unicode MS" w:hAnsi="Palatino Linotype" w:cs="Arial"/>
        </w:rPr>
        <w:t>la Tesis Aislada con número de registro 169167, de la Novena Época, sustentada por la Segunda Sala de la Suprema Corte de Justicia de la Nación, visible en la página 549, Tomo XXVIII, de julio de 2008, del Semanario Judicial de la Federación y su Gaceta,</w:t>
      </w:r>
      <w:r w:rsidRPr="00AA4D94">
        <w:rPr>
          <w:rFonts w:ascii="Palatino Linotype" w:hAnsi="Palatino Linotype" w:cs="Arial"/>
          <w:lang w:val="es-ES"/>
        </w:rPr>
        <w:t xml:space="preserve"> de rubro y texto siguientes:</w:t>
      </w:r>
    </w:p>
    <w:p w:rsidR="00885380" w:rsidRPr="00AA4D94" w:rsidRDefault="00885380" w:rsidP="00885380">
      <w:pPr>
        <w:ind w:left="709" w:right="757"/>
        <w:jc w:val="both"/>
        <w:rPr>
          <w:rFonts w:ascii="Palatino Linotype" w:hAnsi="Palatino Linotype" w:cs="Arial"/>
          <w:b/>
          <w:i/>
          <w:sz w:val="22"/>
          <w:lang w:eastAsia="es-MX"/>
        </w:rPr>
      </w:pPr>
      <w:r w:rsidRPr="00AA4D94">
        <w:rPr>
          <w:rFonts w:ascii="Palatino Linotype" w:hAnsi="Palatino Linotype" w:cs="Arial"/>
          <w:i/>
          <w:sz w:val="22"/>
          <w:lang w:eastAsia="es-MX"/>
        </w:rPr>
        <w:t>"</w:t>
      </w:r>
      <w:r w:rsidRPr="00AA4D94">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A4D94">
        <w:rPr>
          <w:rFonts w:ascii="Palatino Linotype" w:hAnsi="Palatino Linotype" w:cs="Arial"/>
          <w:i/>
          <w:sz w:val="22"/>
          <w:lang w:eastAsia="es-MX"/>
        </w:rPr>
        <w:t xml:space="preserve"> Si se toma en cuenta que la garantía constitucional indicada no implica que todos los sujetos de la norma siempre </w:t>
      </w:r>
      <w:r w:rsidRPr="00AA4D94">
        <w:rPr>
          <w:rFonts w:ascii="Palatino Linotype" w:hAnsi="Palatino Linotype" w:cs="Arial"/>
          <w:i/>
          <w:sz w:val="22"/>
          <w:lang w:eastAsia="es-MX"/>
        </w:rPr>
        <w:lastRenderedPageBreak/>
        <w:t>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AA4D94">
        <w:rPr>
          <w:rFonts w:ascii="Palatino Linotype" w:hAnsi="Palatino Linotype" w:cs="Arial"/>
          <w:b/>
          <w:i/>
          <w:sz w:val="22"/>
          <w:lang w:eastAsia="es-MX"/>
        </w:rPr>
        <w:t>"</w:t>
      </w:r>
    </w:p>
    <w:p w:rsidR="00885380" w:rsidRPr="00AA4D94" w:rsidRDefault="00885380" w:rsidP="00E76891">
      <w:pPr>
        <w:spacing w:before="240" w:after="240" w:line="360" w:lineRule="auto"/>
        <w:jc w:val="both"/>
        <w:rPr>
          <w:rFonts w:ascii="Palatino Linotype" w:hAnsi="Palatino Linotype" w:cs="Arial"/>
        </w:rPr>
      </w:pPr>
      <w:r w:rsidRPr="00AA4D94">
        <w:rPr>
          <w:rFonts w:ascii="Palatino Linotype" w:hAnsi="Palatino Linotype" w:cs="Arial"/>
        </w:rPr>
        <w:t>Por lo tanto,</w:t>
      </w:r>
      <w:r w:rsidRPr="00AA4D94">
        <w:rPr>
          <w:rFonts w:ascii="Palatino Linotype" w:hAnsi="Palatino Linotype"/>
        </w:rPr>
        <w:t xml:space="preserve"> es importante referir que </w:t>
      </w:r>
      <w:r w:rsidRPr="00AA4D94">
        <w:rPr>
          <w:rFonts w:ascii="Palatino Linotype" w:hAnsi="Palatino Linotype"/>
          <w:b/>
        </w:rPr>
        <w:t>EL SUJETO OBLIGADO</w:t>
      </w:r>
      <w:r w:rsidRPr="00AA4D94">
        <w:rPr>
          <w:rFonts w:ascii="Palatino Linotype" w:hAnsi="Palatino Linotype"/>
        </w:rPr>
        <w:t xml:space="preserve"> deberá seguir el procedimiento legal </w:t>
      </w:r>
      <w:r w:rsidRPr="00AA4D94">
        <w:rPr>
          <w:rFonts w:ascii="Palatino Linotype" w:hAnsi="Palatino Linotype" w:cs="Arial"/>
          <w:lang w:val="es-ES"/>
        </w:rPr>
        <w:t>establecido</w:t>
      </w:r>
      <w:r w:rsidRPr="00AA4D94">
        <w:rPr>
          <w:rFonts w:ascii="Palatino Linotype" w:hAnsi="Palatino Linotype"/>
        </w:rPr>
        <w:t xml:space="preserve"> para su </w:t>
      </w:r>
      <w:r w:rsidRPr="00AA4D94">
        <w:rPr>
          <w:rFonts w:ascii="Palatino Linotype" w:hAnsi="Palatino Linotype"/>
          <w:lang w:eastAsia="es-MX"/>
        </w:rPr>
        <w:t>clasificación</w:t>
      </w:r>
      <w:r w:rsidRPr="00AA4D94">
        <w:rPr>
          <w:rFonts w:ascii="Palatino Linotype" w:hAnsi="Palatino Linotype"/>
        </w:rPr>
        <w:t>, esto es, que su Comité de</w:t>
      </w:r>
      <w:r w:rsidRPr="00AA4D94">
        <w:rPr>
          <w:rFonts w:ascii="Palatino Linotype" w:hAnsi="Palatino Linotype" w:cs="Arial"/>
        </w:rPr>
        <w:t xml:space="preserve"> Transparencia emita </w:t>
      </w:r>
      <w:r w:rsidRPr="00AA4D94">
        <w:rPr>
          <w:rFonts w:ascii="Palatino Linotype" w:hAnsi="Palatino Linotype" w:cs="Arial"/>
          <w:lang w:val="es-ES_tradnl"/>
        </w:rPr>
        <w:t>un</w:t>
      </w:r>
      <w:r w:rsidRPr="00AA4D94">
        <w:rPr>
          <w:rFonts w:ascii="Palatino Linotype" w:hAnsi="Palatino Linotype" w:cs="Arial"/>
        </w:rPr>
        <w:t xml:space="preserve"> Acuerdo de Clasificación que cumpla con las formalidades previstas, antes </w:t>
      </w:r>
      <w:r w:rsidRPr="00AA4D94">
        <w:rPr>
          <w:rFonts w:ascii="Palatino Linotype" w:hAnsi="Palatino Linotype" w:cs="Arial"/>
          <w:lang w:val="es-ES"/>
        </w:rPr>
        <w:t>citadas</w:t>
      </w:r>
      <w:r w:rsidRPr="00AA4D94">
        <w:rPr>
          <w:rFonts w:ascii="Palatino Linotype" w:hAnsi="Palatino Linotype" w:cs="Arial"/>
          <w:b/>
        </w:rPr>
        <w:t xml:space="preserve"> </w:t>
      </w:r>
      <w:r w:rsidRPr="00AA4D94">
        <w:rPr>
          <w:rFonts w:ascii="Palatino Linotype" w:hAnsi="Palatino Linotype" w:cs="Arial"/>
        </w:rPr>
        <w:t xml:space="preserve">que la sustente, en el </w:t>
      </w:r>
      <w:r w:rsidRPr="00AA4D94">
        <w:rPr>
          <w:rFonts w:ascii="Palatino Linotype" w:hAnsi="Palatino Linotype" w:cs="Arial"/>
          <w:lang w:eastAsia="es-MX"/>
        </w:rPr>
        <w:t>que</w:t>
      </w:r>
      <w:r w:rsidRPr="00AA4D9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1036C" w:rsidRPr="00AA4D94" w:rsidRDefault="00C1036C" w:rsidP="00C1036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AA4D94">
        <w:rPr>
          <w:rFonts w:ascii="Palatino Linotype" w:hAnsi="Palatino Linotype" w:cs="Arial"/>
        </w:rPr>
        <w:t>En consecuencia, esta Ponencia Resolutora en términos del artículo 186</w:t>
      </w:r>
      <w:r w:rsidR="001D0412" w:rsidRPr="00AA4D94">
        <w:rPr>
          <w:rFonts w:ascii="Palatino Linotype" w:hAnsi="Palatino Linotype" w:cs="Arial"/>
        </w:rPr>
        <w:t>,</w:t>
      </w:r>
      <w:r w:rsidRPr="00AA4D94">
        <w:rPr>
          <w:rFonts w:ascii="Palatino Linotype" w:hAnsi="Palatino Linotype" w:cs="Arial"/>
        </w:rPr>
        <w:t xml:space="preserve"> fracción IV</w:t>
      </w:r>
      <w:r w:rsidR="001D0412" w:rsidRPr="00AA4D94">
        <w:rPr>
          <w:rFonts w:ascii="Palatino Linotype" w:hAnsi="Palatino Linotype" w:cs="Arial"/>
        </w:rPr>
        <w:t>,</w:t>
      </w:r>
      <w:r w:rsidRPr="00AA4D94">
        <w:rPr>
          <w:rFonts w:ascii="Palatino Linotype" w:hAnsi="Palatino Linotype" w:cs="Arial"/>
        </w:rPr>
        <w:t xml:space="preserve"> de la Ley de </w:t>
      </w:r>
      <w:r w:rsidRPr="00AA4D94">
        <w:rPr>
          <w:rFonts w:ascii="Palatino Linotype" w:hAnsi="Palatino Linotype"/>
          <w:bCs/>
        </w:rPr>
        <w:t>Transparencia</w:t>
      </w:r>
      <w:r w:rsidRPr="00AA4D94">
        <w:rPr>
          <w:rFonts w:ascii="Palatino Linotype" w:hAnsi="Palatino Linotype" w:cs="Arial"/>
        </w:rPr>
        <w:t xml:space="preserve"> y Acceso a la Información Pública del Estado de México y Municipios, determina </w:t>
      </w:r>
      <w:r w:rsidRPr="00AA4D94">
        <w:rPr>
          <w:rFonts w:ascii="Palatino Linotype" w:hAnsi="Palatino Linotype" w:cs="Arial"/>
          <w:b/>
        </w:rPr>
        <w:t>ORDENAR</w:t>
      </w:r>
      <w:r w:rsidRPr="00AA4D94">
        <w:rPr>
          <w:rFonts w:ascii="Palatino Linotype" w:hAnsi="Palatino Linotype" w:cs="Arial"/>
        </w:rPr>
        <w:t xml:space="preserve"> al </w:t>
      </w:r>
      <w:r w:rsidRPr="00AA4D94">
        <w:rPr>
          <w:rFonts w:ascii="Palatino Linotype" w:hAnsi="Palatino Linotype" w:cs="Arial"/>
          <w:b/>
        </w:rPr>
        <w:t>SUJETO OBLIGADO</w:t>
      </w:r>
      <w:r w:rsidRPr="00AA4D94">
        <w:rPr>
          <w:rFonts w:ascii="Palatino Linotype" w:hAnsi="Palatino Linotype" w:cs="Arial"/>
        </w:rPr>
        <w:t xml:space="preserve"> la entrega a</w:t>
      </w:r>
      <w:r w:rsidR="00364582" w:rsidRPr="00AA4D94">
        <w:rPr>
          <w:rFonts w:ascii="Palatino Linotype" w:hAnsi="Palatino Linotype" w:cs="Arial"/>
        </w:rPr>
        <w:t xml:space="preserve"> </w:t>
      </w:r>
      <w:r w:rsidR="00364582" w:rsidRPr="00AA4D94">
        <w:rPr>
          <w:rFonts w:ascii="Palatino Linotype" w:hAnsi="Palatino Linotype" w:cs="Arial"/>
          <w:b/>
        </w:rPr>
        <w:t xml:space="preserve">LA </w:t>
      </w:r>
      <w:r w:rsidR="00364582" w:rsidRPr="00AA4D94">
        <w:rPr>
          <w:rFonts w:ascii="Palatino Linotype" w:hAnsi="Palatino Linotype" w:cs="Arial"/>
          <w:b/>
        </w:rPr>
        <w:lastRenderedPageBreak/>
        <w:t>RECURRENTE</w:t>
      </w:r>
      <w:r w:rsidRPr="00AA4D94">
        <w:rPr>
          <w:rFonts w:ascii="Palatino Linotype" w:hAnsi="Palatino Linotype" w:cs="Arial"/>
        </w:rPr>
        <w:t xml:space="preserve"> de la información que ha quedado precisada.</w:t>
      </w:r>
    </w:p>
    <w:p w:rsidR="001B5231" w:rsidRPr="00AA4D94" w:rsidRDefault="001B5231" w:rsidP="00136A1E">
      <w:pPr>
        <w:spacing w:before="240" w:line="360" w:lineRule="auto"/>
        <w:jc w:val="both"/>
        <w:rPr>
          <w:rFonts w:ascii="Palatino Linotype" w:hAnsi="Palatino Linotype" w:cs="Arial"/>
        </w:rPr>
      </w:pPr>
      <w:r w:rsidRPr="00AA4D94">
        <w:rPr>
          <w:rFonts w:ascii="Palatino Linotype" w:hAnsi="Palatino Linotype" w:cs="Arial"/>
          <w:b/>
        </w:rPr>
        <w:t xml:space="preserve">Vista al </w:t>
      </w:r>
      <w:r w:rsidRPr="00AA4D94">
        <w:rPr>
          <w:rFonts w:ascii="Palatino Linotype" w:hAnsi="Palatino Linotype"/>
          <w:b/>
          <w:lang w:eastAsia="es-ES_tradnl"/>
        </w:rPr>
        <w:t>Titular de la Contraloría Interna y Órgano de Control y Vigilancia</w:t>
      </w:r>
    </w:p>
    <w:p w:rsidR="001B5231" w:rsidRPr="00AA4D94" w:rsidRDefault="001B5231" w:rsidP="00136A1E">
      <w:pPr>
        <w:spacing w:after="240" w:line="360" w:lineRule="auto"/>
        <w:jc w:val="both"/>
        <w:rPr>
          <w:rFonts w:ascii="Palatino Linotype" w:hAnsi="Palatino Linotype" w:cs="Arial"/>
        </w:rPr>
      </w:pPr>
      <w:r w:rsidRPr="00AA4D94">
        <w:rPr>
          <w:rFonts w:ascii="Palatino Linotype" w:hAnsi="Palatino Linotype" w:cs="Arial"/>
        </w:rPr>
        <w:t xml:space="preserve">No pasa inadvertido para esta Ponencia Resolutora la omisión del </w:t>
      </w:r>
      <w:r w:rsidRPr="00AA4D94">
        <w:rPr>
          <w:rFonts w:ascii="Palatino Linotype" w:hAnsi="Palatino Linotype" w:cs="Arial"/>
          <w:b/>
        </w:rPr>
        <w:t>SUJETO OBLIGADO</w:t>
      </w:r>
      <w:r w:rsidRPr="00AA4D94">
        <w:rPr>
          <w:rFonts w:ascii="Palatino Linotype" w:hAnsi="Palatino Linotype" w:cs="Arial"/>
        </w:rPr>
        <w:t xml:space="preserve"> de dar </w:t>
      </w:r>
      <w:r w:rsidR="001D0412" w:rsidRPr="00AA4D94">
        <w:rPr>
          <w:rFonts w:ascii="Palatino Linotype" w:hAnsi="Palatino Linotype" w:cs="Arial"/>
        </w:rPr>
        <w:t xml:space="preserve">trámite y </w:t>
      </w:r>
      <w:r w:rsidRPr="00AA4D94">
        <w:rPr>
          <w:rFonts w:ascii="Palatino Linotype" w:hAnsi="Palatino Linotype" w:cs="Arial"/>
        </w:rPr>
        <w:t>respuesta a la solicitud de información de</w:t>
      </w:r>
      <w:r w:rsidR="00404B4E" w:rsidRPr="00AA4D94">
        <w:rPr>
          <w:rFonts w:ascii="Palatino Linotype" w:hAnsi="Palatino Linotype" w:cs="Arial"/>
        </w:rPr>
        <w:t xml:space="preserve"> </w:t>
      </w:r>
      <w:r w:rsidR="00404B4E" w:rsidRPr="00AA4D94">
        <w:rPr>
          <w:rFonts w:ascii="Palatino Linotype" w:hAnsi="Palatino Linotype" w:cs="Arial"/>
          <w:b/>
        </w:rPr>
        <w:t>LA RECURRENTE</w:t>
      </w:r>
      <w:r w:rsidRPr="00AA4D94">
        <w:rPr>
          <w:rFonts w:ascii="Palatino Linotype" w:hAnsi="Palatino Linotype" w:cs="Arial"/>
        </w:rPr>
        <w:t>, lo que, en estricto sentido, podría ser considerado como</w:t>
      </w:r>
      <w:r w:rsidR="00885380" w:rsidRPr="00AA4D94">
        <w:rPr>
          <w:rFonts w:ascii="Palatino Linotype" w:hAnsi="Palatino Linotype" w:cs="Arial"/>
        </w:rPr>
        <w:t xml:space="preserve"> una</w:t>
      </w:r>
      <w:r w:rsidRPr="00AA4D94">
        <w:rPr>
          <w:rFonts w:ascii="Palatino Linotype" w:hAnsi="Palatino Linotype" w:cs="Arial"/>
        </w:rPr>
        <w:t xml:space="preserve"> infracci</w:t>
      </w:r>
      <w:r w:rsidR="00885380" w:rsidRPr="00AA4D94">
        <w:rPr>
          <w:rFonts w:ascii="Palatino Linotype" w:hAnsi="Palatino Linotype" w:cs="Arial"/>
        </w:rPr>
        <w:t>ón</w:t>
      </w:r>
      <w:r w:rsidRPr="00AA4D94">
        <w:rPr>
          <w:rFonts w:ascii="Palatino Linotype" w:hAnsi="Palatino Linotype" w:cs="Arial"/>
        </w:rPr>
        <w:t xml:space="preserve"> a la </w:t>
      </w:r>
      <w:r w:rsidRPr="00AA4D94">
        <w:rPr>
          <w:rFonts w:ascii="Palatino Linotype" w:hAnsi="Palatino Linotype"/>
          <w:szCs w:val="17"/>
          <w:lang w:eastAsia="es-ES_tradnl"/>
        </w:rPr>
        <w:t xml:space="preserve">Ley de Transparencia y Acceso a la </w:t>
      </w:r>
      <w:r w:rsidRPr="00AA4D94">
        <w:rPr>
          <w:rFonts w:ascii="Palatino Linotype" w:hAnsi="Palatino Linotype" w:cs="Arial"/>
        </w:rPr>
        <w:t>Información</w:t>
      </w:r>
      <w:r w:rsidRPr="00AA4D94">
        <w:rPr>
          <w:rFonts w:ascii="Palatino Linotype" w:hAnsi="Palatino Linotype"/>
          <w:szCs w:val="17"/>
          <w:lang w:eastAsia="es-ES_tradnl"/>
        </w:rPr>
        <w:t xml:space="preserve"> Pública del Estado de México y Municipios; sin embargo, si bien, </w:t>
      </w:r>
      <w:r w:rsidRPr="00AA4D94">
        <w:rPr>
          <w:rFonts w:ascii="Palatino Linotype" w:eastAsia="Arial Unicode MS" w:hAnsi="Palatino Linotype" w:cs="Arial"/>
        </w:rPr>
        <w:t xml:space="preserve">la imposición de medidas de apremio al </w:t>
      </w:r>
      <w:r w:rsidRPr="00AA4D94">
        <w:rPr>
          <w:rFonts w:ascii="Palatino Linotype" w:eastAsia="Arial Unicode MS" w:hAnsi="Palatino Linotype" w:cs="Arial"/>
          <w:b/>
        </w:rPr>
        <w:t>SUJETO OBLIGADO</w:t>
      </w:r>
      <w:r w:rsidRPr="00AA4D94">
        <w:rPr>
          <w:rFonts w:ascii="Palatino Linotype" w:eastAsia="Arial Unicode MS" w:hAnsi="Palatino Linotype" w:cs="Arial"/>
        </w:rPr>
        <w:t xml:space="preserve">, no es materia del presente medio de impugnación, también lo es que, de conformidad con lo establecido en el artículo 190 </w:t>
      </w:r>
      <w:r w:rsidRPr="00AA4D94">
        <w:rPr>
          <w:rFonts w:ascii="Palatino Linotype" w:hAnsi="Palatino Linotype"/>
          <w:lang w:eastAsia="es-ES_tradnl"/>
        </w:rPr>
        <w:t>de la Ley de Transparencia y Acceso a la Información Pública del Estado de México y Municipios</w:t>
      </w:r>
      <w:r w:rsidRPr="00AA4D94">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AA4D94">
        <w:rPr>
          <w:rFonts w:ascii="Palatino Linotype" w:hAnsi="Palatino Linotype" w:cs="Arial"/>
          <w:b/>
        </w:rPr>
        <w:t xml:space="preserve">se ordena dar vista al </w:t>
      </w:r>
      <w:r w:rsidRPr="00AA4D94">
        <w:rPr>
          <w:rFonts w:ascii="Palatino Linotype" w:hAnsi="Palatino Linotype"/>
          <w:b/>
          <w:lang w:eastAsia="es-ES_tradnl"/>
        </w:rPr>
        <w:t>Titular de la Contraloría Interna y Órgano de Control y Vigilancia de este Instituto</w:t>
      </w:r>
      <w:r w:rsidRPr="00AA4D94">
        <w:rPr>
          <w:rFonts w:ascii="Palatino Linotype" w:hAnsi="Palatino Linotype"/>
          <w:lang w:eastAsia="es-ES_tradnl"/>
        </w:rPr>
        <w:t>, a efecto de que determine lo conducente</w:t>
      </w:r>
      <w:r w:rsidRPr="00AA4D94">
        <w:rPr>
          <w:rFonts w:ascii="Palatino Linotype" w:hAnsi="Palatino Linotype" w:cs="Arial"/>
        </w:rPr>
        <w:t>.</w:t>
      </w:r>
    </w:p>
    <w:p w:rsidR="001E644B" w:rsidRPr="00AA4D94" w:rsidRDefault="00AE0FC0" w:rsidP="00E76891">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A4D94">
        <w:rPr>
          <w:rFonts w:ascii="Palatino Linotype" w:eastAsia="Calibri" w:hAnsi="Palatino Linotype" w:cs="Arial"/>
        </w:rPr>
        <w:t xml:space="preserve">Así, con </w:t>
      </w:r>
      <w:r w:rsidRPr="00AA4D94">
        <w:rPr>
          <w:rFonts w:ascii="Palatino Linotype" w:hAnsi="Palatino Linotype" w:cs="Arial"/>
        </w:rPr>
        <w:t>fundamento</w:t>
      </w:r>
      <w:r w:rsidRPr="00AA4D94">
        <w:rPr>
          <w:rFonts w:ascii="Palatino Linotype" w:eastAsia="Calibri" w:hAnsi="Palatino Linotype" w:cs="Arial"/>
        </w:rPr>
        <w:t xml:space="preserve"> en lo prescrito en los artículos 5, </w:t>
      </w:r>
      <w:r w:rsidRPr="00AA4D94">
        <w:rPr>
          <w:rFonts w:ascii="Palatino Linotype" w:hAnsi="Palatino Linotype"/>
        </w:rPr>
        <w:t xml:space="preserve">párrafos vigésimo, vigésimo primero y vigésimo </w:t>
      </w:r>
      <w:r w:rsidRPr="00AA4D94">
        <w:rPr>
          <w:rFonts w:ascii="Palatino Linotype" w:hAnsi="Palatino Linotype" w:cs="Arial"/>
        </w:rPr>
        <w:t>segundo,</w:t>
      </w:r>
      <w:r w:rsidRPr="00AA4D94">
        <w:rPr>
          <w:rFonts w:ascii="Palatino Linotype" w:hAnsi="Palatino Linotype"/>
        </w:rPr>
        <w:t xml:space="preserve"> fracciones IV y V,</w:t>
      </w:r>
      <w:r w:rsidRPr="00AA4D94">
        <w:rPr>
          <w:rFonts w:ascii="Palatino Linotype" w:eastAsia="Calibri" w:hAnsi="Palatino Linotype" w:cs="Arial"/>
        </w:rPr>
        <w:t xml:space="preserve"> de la Constitución Política del Estado Libre y Soberano de México, y los artículos </w:t>
      </w:r>
      <w:r w:rsidRPr="00AA4D94">
        <w:rPr>
          <w:rFonts w:ascii="Palatino Linotype" w:hAnsi="Palatino Linotype"/>
        </w:rPr>
        <w:t xml:space="preserve">2, </w:t>
      </w:r>
      <w:r w:rsidRPr="00AA4D94">
        <w:rPr>
          <w:rFonts w:ascii="Palatino Linotype" w:hAnsi="Palatino Linotype" w:cs="Arial"/>
        </w:rPr>
        <w:t>fracción</w:t>
      </w:r>
      <w:r w:rsidRPr="00AA4D94">
        <w:rPr>
          <w:rFonts w:ascii="Palatino Linotype" w:hAnsi="Palatino Linotype"/>
        </w:rPr>
        <w:t xml:space="preserve"> II, 9, </w:t>
      </w:r>
      <w:r w:rsidRPr="00AA4D94">
        <w:rPr>
          <w:rFonts w:ascii="Palatino Linotype" w:hAnsi="Palatino Linotype" w:cs="Arial"/>
          <w:lang w:val="es-ES_tradnl"/>
        </w:rPr>
        <w:t>29</w:t>
      </w:r>
      <w:r w:rsidRPr="00AA4D94">
        <w:rPr>
          <w:rFonts w:ascii="Palatino Linotype" w:hAnsi="Palatino Linotype"/>
        </w:rPr>
        <w:t>, 36, fracciones I y II, 176, 178, 179, 181, 185, fracción I, 186 y 188,</w:t>
      </w:r>
      <w:r w:rsidRPr="00AA4D94">
        <w:rPr>
          <w:rFonts w:ascii="Palatino Linotype" w:eastAsia="Calibri" w:hAnsi="Palatino Linotype" w:cs="Arial"/>
        </w:rPr>
        <w:t xml:space="preserve"> de la Ley de Transparencia y Acceso a la Información Pública del Estado de México y </w:t>
      </w:r>
      <w:r w:rsidRPr="00AA4D94">
        <w:rPr>
          <w:rFonts w:ascii="Palatino Linotype" w:hAnsi="Palatino Linotype" w:cs="Arial"/>
        </w:rPr>
        <w:t>Municipios</w:t>
      </w:r>
      <w:r w:rsidRPr="00AA4D94">
        <w:rPr>
          <w:rFonts w:ascii="Palatino Linotype" w:eastAsia="Calibri" w:hAnsi="Palatino Linotype" w:cs="Arial"/>
        </w:rPr>
        <w:t xml:space="preserve">, </w:t>
      </w:r>
      <w:r w:rsidRPr="00AA4D94">
        <w:rPr>
          <w:rFonts w:ascii="Palatino Linotype" w:hAnsi="Palatino Linotype"/>
        </w:rPr>
        <w:t>este</w:t>
      </w:r>
      <w:r w:rsidRPr="00AA4D94">
        <w:rPr>
          <w:rFonts w:ascii="Palatino Linotype" w:eastAsia="Calibri" w:hAnsi="Palatino Linotype" w:cs="Arial"/>
        </w:rPr>
        <w:t xml:space="preserve"> Pleno:</w:t>
      </w:r>
    </w:p>
    <w:p w:rsidR="00AF6C24" w:rsidRPr="00AA4D94" w:rsidRDefault="00AF6C24" w:rsidP="00136A1E">
      <w:pPr>
        <w:spacing w:before="240" w:after="120" w:line="360" w:lineRule="auto"/>
        <w:jc w:val="center"/>
        <w:rPr>
          <w:rFonts w:ascii="Palatino Linotype" w:hAnsi="Palatino Linotype"/>
          <w:b/>
          <w:bCs/>
          <w:spacing w:val="40"/>
          <w:sz w:val="28"/>
        </w:rPr>
      </w:pPr>
      <w:r w:rsidRPr="00AA4D94">
        <w:rPr>
          <w:rFonts w:ascii="Palatino Linotype" w:hAnsi="Palatino Linotype"/>
          <w:b/>
          <w:bCs/>
          <w:spacing w:val="40"/>
          <w:sz w:val="28"/>
        </w:rPr>
        <w:t>RESUELVE</w:t>
      </w:r>
    </w:p>
    <w:p w:rsidR="004B22FF" w:rsidRPr="00AA4D94" w:rsidRDefault="004B22FF" w:rsidP="00136A1E">
      <w:pPr>
        <w:pStyle w:val="Prrafodelista"/>
        <w:widowControl w:val="0"/>
        <w:numPr>
          <w:ilvl w:val="0"/>
          <w:numId w:val="2"/>
        </w:numPr>
        <w:tabs>
          <w:tab w:val="left" w:pos="1701"/>
        </w:tabs>
        <w:autoSpaceDE w:val="0"/>
        <w:autoSpaceDN w:val="0"/>
        <w:adjustRightInd w:val="0"/>
        <w:spacing w:before="120" w:after="240" w:line="360" w:lineRule="auto"/>
        <w:ind w:left="0" w:firstLine="0"/>
        <w:jc w:val="both"/>
        <w:rPr>
          <w:rFonts w:ascii="Palatino Linotype" w:hAnsi="Palatino Linotype" w:cs="Arial"/>
          <w:b/>
          <w:lang w:eastAsia="es-MX"/>
        </w:rPr>
      </w:pPr>
      <w:r w:rsidRPr="00AA4D94">
        <w:rPr>
          <w:rFonts w:ascii="Palatino Linotype" w:hAnsi="Palatino Linotype"/>
          <w:lang w:eastAsia="es-ES_tradnl"/>
        </w:rPr>
        <w:t>Resultan</w:t>
      </w:r>
      <w:r w:rsidRPr="00AA4D94">
        <w:rPr>
          <w:rFonts w:ascii="Palatino Linotype" w:hAnsi="Palatino Linotype" w:cs="Arial"/>
        </w:rPr>
        <w:t xml:space="preserve"> </w:t>
      </w:r>
      <w:r w:rsidRPr="00AA4D94">
        <w:rPr>
          <w:rFonts w:ascii="Palatino Linotype" w:hAnsi="Palatino Linotype" w:cs="Arial"/>
          <w:b/>
        </w:rPr>
        <w:t>fundadas</w:t>
      </w:r>
      <w:r w:rsidRPr="00AA4D94">
        <w:rPr>
          <w:rFonts w:ascii="Palatino Linotype" w:hAnsi="Palatino Linotype" w:cs="Arial"/>
        </w:rPr>
        <w:t xml:space="preserve"> las razones o motivos de inconformidad planteadas por </w:t>
      </w:r>
      <w:r w:rsidR="00404B4E" w:rsidRPr="00AA4D94">
        <w:rPr>
          <w:rFonts w:ascii="Palatino Linotype" w:hAnsi="Palatino Linotype" w:cs="Arial"/>
          <w:b/>
        </w:rPr>
        <w:t>LA RECURRENTE</w:t>
      </w:r>
      <w:r w:rsidRPr="00AA4D94">
        <w:rPr>
          <w:rFonts w:ascii="Palatino Linotype" w:hAnsi="Palatino Linotype" w:cs="Arial"/>
        </w:rPr>
        <w:t xml:space="preserve"> por los motivos y fundamentos expuestos en el Considerando </w:t>
      </w:r>
      <w:r w:rsidRPr="00AA4D94">
        <w:rPr>
          <w:rFonts w:ascii="Palatino Linotype" w:hAnsi="Palatino Linotype" w:cs="Arial"/>
          <w:b/>
        </w:rPr>
        <w:t>QUINTO</w:t>
      </w:r>
      <w:r w:rsidRPr="00AA4D94">
        <w:rPr>
          <w:rFonts w:ascii="Palatino Linotype" w:hAnsi="Palatino Linotype" w:cs="Arial"/>
        </w:rPr>
        <w:t xml:space="preserve"> de la presente resolución</w:t>
      </w:r>
      <w:r w:rsidRPr="00AA4D94">
        <w:rPr>
          <w:rFonts w:ascii="Palatino Linotype" w:hAnsi="Palatino Linotype" w:cs="Arial"/>
          <w:b/>
          <w:lang w:eastAsia="es-MX"/>
        </w:rPr>
        <w:t>.</w:t>
      </w:r>
    </w:p>
    <w:p w:rsidR="007B1495" w:rsidRPr="00AA4D94" w:rsidRDefault="004B22FF" w:rsidP="00136A1E">
      <w:pPr>
        <w:pStyle w:val="Prrafodelista"/>
        <w:widowControl w:val="0"/>
        <w:numPr>
          <w:ilvl w:val="0"/>
          <w:numId w:val="2"/>
        </w:numPr>
        <w:tabs>
          <w:tab w:val="left" w:pos="1418"/>
          <w:tab w:val="left" w:pos="1843"/>
        </w:tabs>
        <w:autoSpaceDE w:val="0"/>
        <w:autoSpaceDN w:val="0"/>
        <w:adjustRightInd w:val="0"/>
        <w:spacing w:before="360" w:after="240" w:line="360" w:lineRule="auto"/>
        <w:ind w:left="0" w:firstLine="0"/>
        <w:jc w:val="both"/>
        <w:rPr>
          <w:rFonts w:ascii="Palatino Linotype" w:hAnsi="Palatino Linotype" w:cs="Arial"/>
        </w:rPr>
      </w:pPr>
      <w:r w:rsidRPr="00AA4D94">
        <w:rPr>
          <w:rFonts w:ascii="Palatino Linotype" w:hAnsi="Palatino Linotype" w:cs="Arial"/>
        </w:rPr>
        <w:lastRenderedPageBreak/>
        <w:t xml:space="preserve">Se </w:t>
      </w:r>
      <w:r w:rsidRPr="00AA4D94">
        <w:rPr>
          <w:rFonts w:ascii="Palatino Linotype" w:hAnsi="Palatino Linotype" w:cs="Arial"/>
          <w:b/>
        </w:rPr>
        <w:t>ORDENA</w:t>
      </w:r>
      <w:r w:rsidRPr="00AA4D94">
        <w:rPr>
          <w:rFonts w:ascii="Palatino Linotype" w:hAnsi="Palatino Linotype" w:cs="Arial"/>
        </w:rPr>
        <w:t xml:space="preserve"> al </w:t>
      </w:r>
      <w:r w:rsidRPr="00AA4D94">
        <w:rPr>
          <w:rFonts w:ascii="Palatino Linotype" w:hAnsi="Palatino Linotype" w:cs="Arial"/>
          <w:b/>
        </w:rPr>
        <w:t>SUJETO OBLIGADO</w:t>
      </w:r>
      <w:r w:rsidRPr="00AA4D94">
        <w:rPr>
          <w:rFonts w:ascii="Palatino Linotype" w:hAnsi="Palatino Linotype" w:cs="Arial"/>
        </w:rPr>
        <w:t xml:space="preserve"> que </w:t>
      </w:r>
      <w:r w:rsidRPr="00AA4D94">
        <w:rPr>
          <w:rFonts w:ascii="Palatino Linotype" w:hAnsi="Palatino Linotype"/>
          <w:shd w:val="clear" w:color="auto" w:fill="FFFFFF"/>
        </w:rPr>
        <w:t>atienda</w:t>
      </w:r>
      <w:r w:rsidRPr="00AA4D94">
        <w:rPr>
          <w:rFonts w:ascii="Palatino Linotype" w:hAnsi="Palatino Linotype" w:cs="Arial"/>
        </w:rPr>
        <w:t xml:space="preserve"> la solicitud de </w:t>
      </w:r>
      <w:r w:rsidR="00AE0E25">
        <w:rPr>
          <w:rFonts w:ascii="Palatino Linotype" w:hAnsi="Palatino Linotype" w:cs="Arial"/>
        </w:rPr>
        <w:t xml:space="preserve"> acceso a la </w:t>
      </w:r>
      <w:r w:rsidRPr="00AA4D94">
        <w:rPr>
          <w:rFonts w:ascii="Palatino Linotype" w:hAnsi="Palatino Linotype" w:cs="Arial"/>
        </w:rPr>
        <w:t xml:space="preserve">información pública </w:t>
      </w:r>
      <w:r w:rsidR="004E6868" w:rsidRPr="00AA4D94">
        <w:rPr>
          <w:rFonts w:ascii="Palatino Linotype" w:hAnsi="Palatino Linotype"/>
          <w:b/>
          <w:bCs/>
        </w:rPr>
        <w:t>00028/DONAGUER/IP/2018</w:t>
      </w:r>
      <w:r w:rsidRPr="00AA4D94">
        <w:rPr>
          <w:rFonts w:ascii="Palatino Linotype" w:hAnsi="Palatino Linotype"/>
          <w:bCs/>
        </w:rPr>
        <w:t xml:space="preserve">, </w:t>
      </w:r>
      <w:r w:rsidRPr="00AA4D94">
        <w:rPr>
          <w:rFonts w:ascii="Palatino Linotype" w:hAnsi="Palatino Linotype" w:cs="Arial"/>
        </w:rPr>
        <w:t>y haga entrega a</w:t>
      </w:r>
      <w:r w:rsidR="00364582" w:rsidRPr="00AA4D94">
        <w:rPr>
          <w:rFonts w:ascii="Palatino Linotype" w:hAnsi="Palatino Linotype" w:cs="Arial"/>
        </w:rPr>
        <w:t xml:space="preserve"> </w:t>
      </w:r>
      <w:r w:rsidR="00364582" w:rsidRPr="00AA4D94">
        <w:rPr>
          <w:rFonts w:ascii="Palatino Linotype" w:hAnsi="Palatino Linotype" w:cs="Arial"/>
          <w:b/>
        </w:rPr>
        <w:t>LA RECURRENTE</w:t>
      </w:r>
      <w:r w:rsidRPr="00AA4D94">
        <w:rPr>
          <w:rFonts w:ascii="Palatino Linotype" w:hAnsi="Palatino Linotype" w:cs="Arial"/>
        </w:rPr>
        <w:t xml:space="preserve">, vía </w:t>
      </w:r>
      <w:r w:rsidRPr="00AA4D94">
        <w:rPr>
          <w:rFonts w:ascii="Palatino Linotype" w:hAnsi="Palatino Linotype" w:cs="Arial"/>
          <w:b/>
        </w:rPr>
        <w:t>EL</w:t>
      </w:r>
      <w:r w:rsidRPr="00AA4D94">
        <w:rPr>
          <w:rFonts w:ascii="Palatino Linotype" w:hAnsi="Palatino Linotype" w:cs="Arial"/>
        </w:rPr>
        <w:t xml:space="preserve"> </w:t>
      </w:r>
      <w:r w:rsidRPr="00AA4D94">
        <w:rPr>
          <w:rFonts w:ascii="Palatino Linotype" w:hAnsi="Palatino Linotype" w:cs="Arial"/>
          <w:b/>
        </w:rPr>
        <w:t>SAIMEX</w:t>
      </w:r>
      <w:r w:rsidRPr="00AA4D94">
        <w:rPr>
          <w:rFonts w:ascii="Palatino Linotype" w:hAnsi="Palatino Linotype" w:cs="Arial"/>
        </w:rPr>
        <w:t xml:space="preserve">, en </w:t>
      </w:r>
      <w:r w:rsidRPr="00AA4D94">
        <w:rPr>
          <w:rFonts w:ascii="Palatino Linotype" w:hAnsi="Palatino Linotype"/>
          <w:lang w:eastAsia="es-ES_tradnl"/>
        </w:rPr>
        <w:t>términos</w:t>
      </w:r>
      <w:r w:rsidRPr="00AA4D94">
        <w:rPr>
          <w:rFonts w:ascii="Palatino Linotype" w:hAnsi="Palatino Linotype" w:cs="Arial"/>
        </w:rPr>
        <w:t xml:space="preserve"> del Considerando </w:t>
      </w:r>
      <w:r w:rsidRPr="00AA4D94">
        <w:rPr>
          <w:rFonts w:ascii="Palatino Linotype" w:hAnsi="Palatino Linotype" w:cs="Arial"/>
          <w:b/>
        </w:rPr>
        <w:t>QUINTO</w:t>
      </w:r>
      <w:r w:rsidRPr="00AA4D94">
        <w:rPr>
          <w:rFonts w:ascii="Palatino Linotype" w:hAnsi="Palatino Linotype" w:cs="Arial"/>
        </w:rPr>
        <w:t xml:space="preserve"> </w:t>
      </w:r>
      <w:r w:rsidRPr="00AA4D94">
        <w:rPr>
          <w:rFonts w:ascii="Palatino Linotype" w:hAnsi="Palatino Linotype"/>
        </w:rPr>
        <w:t xml:space="preserve">de la presente resolución, de ser procedente </w:t>
      </w:r>
      <w:r w:rsidRPr="00AA4D94">
        <w:rPr>
          <w:rFonts w:ascii="Palatino Linotype" w:hAnsi="Palatino Linotype" w:cs="Arial"/>
        </w:rPr>
        <w:t>en</w:t>
      </w:r>
      <w:r w:rsidRPr="00AA4D94">
        <w:rPr>
          <w:rFonts w:ascii="Palatino Linotype" w:hAnsi="Palatino Linotype" w:cs="Arial"/>
          <w:b/>
        </w:rPr>
        <w:t xml:space="preserve"> versión pública</w:t>
      </w:r>
      <w:r w:rsidRPr="00AA4D94">
        <w:rPr>
          <w:rFonts w:ascii="Palatino Linotype" w:hAnsi="Palatino Linotype" w:cs="Arial"/>
        </w:rPr>
        <w:t>,</w:t>
      </w:r>
      <w:r w:rsidR="006614E3" w:rsidRPr="00AA4D94">
        <w:rPr>
          <w:rFonts w:ascii="Palatino Linotype" w:hAnsi="Palatino Linotype" w:cs="Arial"/>
        </w:rPr>
        <w:t xml:space="preserve"> al mayor grado de desagregación </w:t>
      </w:r>
      <w:r w:rsidR="007B1495" w:rsidRPr="00AA4D94">
        <w:rPr>
          <w:rFonts w:ascii="Palatino Linotype" w:hAnsi="Palatino Linotype" w:cs="Arial"/>
        </w:rPr>
        <w:t>posible</w:t>
      </w:r>
      <w:r w:rsidR="006614E3" w:rsidRPr="00AA4D94">
        <w:rPr>
          <w:rFonts w:ascii="Palatino Linotype" w:hAnsi="Palatino Linotype" w:cs="Arial"/>
        </w:rPr>
        <w:t>,</w:t>
      </w:r>
      <w:r w:rsidR="00885380" w:rsidRPr="00AA4D94">
        <w:rPr>
          <w:rFonts w:ascii="Palatino Linotype" w:hAnsi="Palatino Linotype" w:cs="Arial"/>
        </w:rPr>
        <w:t xml:space="preserve"> los documentos </w:t>
      </w:r>
      <w:r w:rsidR="007B1495" w:rsidRPr="00AA4D94">
        <w:rPr>
          <w:rFonts w:ascii="Palatino Linotype" w:hAnsi="Palatino Linotype" w:cs="Arial"/>
        </w:rPr>
        <w:t>en donde conste lo siguiente:</w:t>
      </w:r>
    </w:p>
    <w:p w:rsidR="005E5D8F" w:rsidRPr="00025BB5" w:rsidRDefault="005E5D8F" w:rsidP="005E5D8F">
      <w:pPr>
        <w:pStyle w:val="Prrafodelista"/>
        <w:ind w:left="851" w:right="902" w:hanging="142"/>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“1. El importe por </w:t>
      </w:r>
      <w:r w:rsidRPr="00025BB5">
        <w:rPr>
          <w:rFonts w:ascii="Palatino Linotype" w:hAnsi="Palatino Linotype" w:cs="Arial"/>
          <w:i/>
          <w:color w:val="000000" w:themeColor="text1"/>
          <w:sz w:val="22"/>
          <w:szCs w:val="22"/>
          <w:lang w:eastAsia="es-MX"/>
        </w:rPr>
        <w:t>concepto</w:t>
      </w:r>
      <w:r w:rsidRPr="00025BB5">
        <w:rPr>
          <w:rFonts w:ascii="Palatino Linotype" w:hAnsi="Palatino Linotype" w:cs="Arial"/>
          <w:i/>
          <w:color w:val="000000" w:themeColor="text1"/>
        </w:rPr>
        <w:t xml:space="preserve"> de alumbrado público emitido por la Comisión Federal de Electricidad al Municipio, por el periodo comprendido del 1 de enero de 2013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2. La cantidad adeudada por concepto de consumo de energía eléctrica en el alumbrado público al 13 de noviembre de 2018, así como, montos acumulados y fecha desde la cual no se ha realizado pago alguno.</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3. Las partidas presupuestales y el monto erogado por concepto de consumo de energía eléctrica, así como, mantenimiento del sistema de alumbrado público; del 1 de enero de 2013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4. Los lugares y número de luminarias que fueron sustituidas, arregladas o transformadas, derivado del mantenimiento preventivo o correctivo del sistema de alumbrado público; así como, sus características, del periodo comprendido del 1 de enero de 2013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5. De los censos de alumbrado público de los ejercicios 2016, 2017 y el último generado al 13 de noviembre de 2018, o documento análogo en el que advierta:</w:t>
      </w:r>
    </w:p>
    <w:p w:rsidR="005E5D8F" w:rsidRPr="00025BB5" w:rsidRDefault="005E5D8F" w:rsidP="005E5D8F">
      <w:pPr>
        <w:pStyle w:val="Prrafodelista"/>
        <w:numPr>
          <w:ilvl w:val="0"/>
          <w:numId w:val="38"/>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de ser posible el tipo de equipo y capacidad.</w:t>
      </w:r>
    </w:p>
    <w:p w:rsidR="005E5D8F" w:rsidRPr="00025BB5" w:rsidRDefault="005E5D8F" w:rsidP="005E5D8F">
      <w:pPr>
        <w:pStyle w:val="Prrafodelista"/>
        <w:numPr>
          <w:ilvl w:val="0"/>
          <w:numId w:val="38"/>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El Registro Móvil de Usuario (RMU) asignado al servicio de alumbrado público.</w:t>
      </w:r>
    </w:p>
    <w:p w:rsidR="005E5D8F" w:rsidRPr="00025BB5" w:rsidRDefault="005E5D8F" w:rsidP="005E5D8F">
      <w:pPr>
        <w:pStyle w:val="Prrafodelista"/>
        <w:ind w:left="1080"/>
        <w:jc w:val="both"/>
        <w:rPr>
          <w:rFonts w:ascii="Palatino Linotype" w:hAnsi="Palatino Linotype" w:cs="Arial"/>
          <w:i/>
          <w:color w:val="000000" w:themeColor="text1"/>
        </w:rPr>
      </w:pP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6. De los proyectos de electrificación para ampliar el sistema de alumbrado público y ofrecer este servicio a la comunidad, por el periodo comprendido del 1 de enero de 2013 al 13 de noviembre de 2018: </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El monto total de la inversión.</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lastRenderedPageBreak/>
        <w:t>La fuente de financiamiento.</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cantidad de equipos colocados y/o sustituidos.</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El tipo de equipos (Led, VSAP, suburbana, etcétera).</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La capacidad (potencia). </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La ubicación (calle, colonia y/o delegación). </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fecha de inicio y término de obra.</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fecha de modificación de su nuevo consumo en el sistema de facturación del alumbrado público ante CFE.</w:t>
      </w:r>
    </w:p>
    <w:p w:rsidR="005E5D8F" w:rsidRPr="00025BB5" w:rsidRDefault="005E5D8F" w:rsidP="005E5D8F">
      <w:pPr>
        <w:pStyle w:val="Prrafodelista"/>
        <w:numPr>
          <w:ilvl w:val="0"/>
          <w:numId w:val="41"/>
        </w:numPr>
        <w:tabs>
          <w:tab w:val="left" w:pos="8222"/>
        </w:tabs>
        <w:ind w:left="1701" w:right="899"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Medio de publicación de los proyectos.</w:t>
      </w:r>
    </w:p>
    <w:p w:rsidR="005E5D8F" w:rsidRPr="00025BB5" w:rsidRDefault="005E5D8F" w:rsidP="005E5D8F">
      <w:pPr>
        <w:tabs>
          <w:tab w:val="left" w:pos="7655"/>
        </w:tabs>
        <w:ind w:left="720"/>
        <w:jc w:val="both"/>
        <w:rPr>
          <w:rFonts w:ascii="Palatino Linotype" w:hAnsi="Palatino Linotype" w:cs="Arial"/>
          <w:i/>
          <w:color w:val="000000" w:themeColor="text1"/>
        </w:rPr>
      </w:pP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7. De los proyectos parciales o totales de modernización de alumbrado público, por el periodo comprendido del 1 de enero de 2013 al 13 de noviembre de 2018:</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El monto total de la inversión.</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La fuente de financiamiento. </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cantidad de equipos colocados y/o sustituidos.</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El tipo de equipos (Led, VSAP, suburbana, etcétera).</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capacidad (potencia).</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La ubicación (calle, colonia y/o delegación). </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fecha de inicio y término de obra.</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georreferenciación de cada uno de los puntos de luz del nuevo alumbrado público.</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cs="Arial"/>
          <w:i/>
          <w:color w:val="000000" w:themeColor="text1"/>
        </w:rPr>
        <w:t>La fecha de modificación de su nuevo consumo en el sistema de facturación del alumbrado público ante CFE.</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i/>
          <w:color w:val="000000" w:themeColor="text1"/>
        </w:rPr>
        <w:t>El tipo de contrato celebrado para la adquisición de los nuevos equipos.</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i/>
          <w:color w:val="000000" w:themeColor="text1"/>
        </w:rPr>
        <w:t>Número y nombre de las empresas concursantes o convocadas.</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i/>
          <w:color w:val="000000" w:themeColor="text1"/>
        </w:rPr>
        <w:t>Los criterios de selección utilizados para elegir a la empresa contratada y para realizar la modernización del sistema de alumbrado público.</w:t>
      </w:r>
    </w:p>
    <w:p w:rsidR="005E5D8F" w:rsidRPr="00025BB5" w:rsidRDefault="005E5D8F" w:rsidP="005E5D8F">
      <w:pPr>
        <w:pStyle w:val="Prrafodelista"/>
        <w:numPr>
          <w:ilvl w:val="0"/>
          <w:numId w:val="42"/>
        </w:numPr>
        <w:ind w:left="1701" w:right="1466" w:hanging="283"/>
        <w:contextualSpacing/>
        <w:jc w:val="both"/>
        <w:rPr>
          <w:rFonts w:ascii="Palatino Linotype" w:hAnsi="Palatino Linotype" w:cs="Arial"/>
          <w:i/>
          <w:color w:val="000000" w:themeColor="text1"/>
        </w:rPr>
      </w:pPr>
      <w:r w:rsidRPr="00025BB5">
        <w:rPr>
          <w:rFonts w:ascii="Palatino Linotype" w:hAnsi="Palatino Linotype"/>
          <w:i/>
          <w:color w:val="000000" w:themeColor="text1"/>
        </w:rPr>
        <w:t xml:space="preserve">Las actas de cabildo en la que se autorizó el proyecto. </w:t>
      </w:r>
    </w:p>
    <w:p w:rsidR="005E5D8F" w:rsidRPr="00025BB5" w:rsidRDefault="005E5D8F" w:rsidP="005E5D8F">
      <w:pPr>
        <w:jc w:val="both"/>
        <w:rPr>
          <w:rFonts w:ascii="Palatino Linotype" w:hAnsi="Palatino Linotype" w:cs="Arial"/>
          <w:i/>
          <w:color w:val="000000" w:themeColor="text1"/>
        </w:rPr>
      </w:pP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8. El número de solicitudes ciudadanas realizadas al municipio para ampliar el sistema de alumbrado público mediante proyectos de electrificación, por el periodo comprendido del 1 de enero de 2013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9. El número de solicitudes ciudadanas que fueron atendidas; así como concluidas para ampliar el sistema de alumbrado público, por el periodo comprendido del 1 de enero de 2013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lastRenderedPageBreak/>
        <w:t>10. El último contrato de prestación de servicios por concepto de suministro de energía eléctrica por parte de la Comisión Federal de Electricidad (“CFE”) al municipio,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11. El último convenio de “Peso por Peso” celebrado entre la Comisión Federal de Electricidad y el municipio,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12. El o los convenios para recaudar el Derecho de Alumbrado Público “DAP” celebrados entre la Comisión Federal de Electricidad y el Municipio, durante el periodo del 1 de enero de 2013 al 13 de noviembre de 2018; así como el monto recaudado por el periodo referido. </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13. El número de juicios y/o controversias promovidos por particulares en contra del Municipio por el cobro del derecho por servicio de Alumbrado Público, durante el periodo comprendido del 1 de enero de 2013 al 13 de noviembre de 2018.</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14. El sentido de la resolución o sentencia de los juicios y/o controversias promovidos por particulares en contra del Municipio por el cobro del derecho del servicio de Alumbrado Público, que se encuentren concluidos al 13 de noviembre de 2018. </w:t>
      </w: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rPr>
        <w:t xml:space="preserve">15. Las normas vigentes al 13 de noviembre de 2018 que el Municipio sigue para la operación y prestación del servicio de alumbrado público. </w:t>
      </w:r>
    </w:p>
    <w:p w:rsidR="005E5D8F" w:rsidRPr="00025BB5" w:rsidRDefault="005E5D8F" w:rsidP="005E5D8F">
      <w:pPr>
        <w:ind w:left="360"/>
        <w:jc w:val="both"/>
        <w:rPr>
          <w:rFonts w:ascii="Palatino Linotype" w:hAnsi="Palatino Linotype" w:cs="Arial"/>
          <w:i/>
          <w:color w:val="000000" w:themeColor="text1"/>
        </w:rPr>
      </w:pPr>
    </w:p>
    <w:p w:rsidR="005E5D8F" w:rsidRPr="00025BB5" w:rsidRDefault="005E5D8F" w:rsidP="005E5D8F">
      <w:pPr>
        <w:pStyle w:val="Prrafodelista"/>
        <w:ind w:left="851" w:right="902"/>
        <w:jc w:val="both"/>
        <w:rPr>
          <w:rFonts w:ascii="Palatino Linotype" w:hAnsi="Palatino Linotype" w:cs="Arial"/>
          <w:i/>
          <w:color w:val="000000" w:themeColor="text1"/>
        </w:rPr>
      </w:pPr>
      <w:r w:rsidRPr="00025BB5">
        <w:rPr>
          <w:rFonts w:ascii="Palatino Linotype" w:hAnsi="Palatino Linotype" w:cs="Arial"/>
          <w:i/>
          <w:color w:val="000000" w:themeColor="text1"/>
          <w:lang w:eastAsia="es-MX"/>
        </w:rPr>
        <w:t>Debiendo</w:t>
      </w:r>
      <w:r w:rsidRPr="00025BB5">
        <w:rPr>
          <w:rFonts w:ascii="Palatino Linotype" w:hAnsi="Palatino Linotype" w:cs="Arial"/>
          <w:i/>
          <w:color w:val="000000" w:themeColor="text1"/>
        </w:rPr>
        <w:t xml:space="preserve"> notificar a </w:t>
      </w:r>
      <w:r w:rsidRPr="00025BB5">
        <w:rPr>
          <w:rFonts w:ascii="Palatino Linotype" w:hAnsi="Palatino Linotype" w:cs="Arial"/>
          <w:b/>
          <w:i/>
          <w:color w:val="000000" w:themeColor="text1"/>
        </w:rPr>
        <w:t>LA RECURRENTE</w:t>
      </w:r>
      <w:r w:rsidRPr="00025BB5">
        <w:rPr>
          <w:rFonts w:ascii="Palatino Linotype" w:hAnsi="Palatino Linotype" w:cs="Arial"/>
          <w:i/>
          <w:color w:val="000000" w:themeColor="text1"/>
        </w:rPr>
        <w:t xml:space="preserve"> el Acuerdo de Clasificación de la información que emita en su caso el Comité de Transparencia con motivo de la versión pública.</w:t>
      </w:r>
    </w:p>
    <w:p w:rsidR="005E5D8F" w:rsidRPr="00025BB5" w:rsidRDefault="005E5D8F" w:rsidP="005E5D8F">
      <w:pPr>
        <w:pStyle w:val="Prrafodelista"/>
        <w:ind w:left="851" w:right="902"/>
        <w:jc w:val="both"/>
        <w:rPr>
          <w:rFonts w:ascii="Palatino Linotype" w:hAnsi="Palatino Linotype" w:cs="Arial"/>
          <w:i/>
          <w:color w:val="000000" w:themeColor="text1"/>
        </w:rPr>
      </w:pPr>
    </w:p>
    <w:p w:rsidR="005E5D8F" w:rsidRPr="00025BB5" w:rsidRDefault="005E5D8F" w:rsidP="005E5D8F">
      <w:pPr>
        <w:ind w:left="851" w:right="899"/>
        <w:jc w:val="both"/>
        <w:rPr>
          <w:rFonts w:ascii="Palatino Linotype" w:hAnsi="Palatino Linotype"/>
          <w:i/>
          <w:color w:val="000000" w:themeColor="text1"/>
        </w:rPr>
      </w:pPr>
      <w:r w:rsidRPr="00025BB5">
        <w:rPr>
          <w:rFonts w:ascii="Palatino Linotype" w:hAnsi="Palatino Linotype"/>
          <w:i/>
          <w:color w:val="000000" w:themeColor="text1"/>
        </w:rPr>
        <w:t>Para el caso de que la información de la que se ordena la entrega en</w:t>
      </w:r>
      <w:r w:rsidR="00AA4D94" w:rsidRPr="00025BB5">
        <w:rPr>
          <w:rFonts w:ascii="Palatino Linotype" w:hAnsi="Palatino Linotype"/>
          <w:i/>
          <w:color w:val="000000" w:themeColor="text1"/>
        </w:rPr>
        <w:t xml:space="preserve"> los numerales 2, 6, 7, 8, 9, 10</w:t>
      </w:r>
      <w:r w:rsidRPr="00025BB5">
        <w:rPr>
          <w:rFonts w:ascii="Palatino Linotype" w:hAnsi="Palatino Linotype"/>
          <w:i/>
          <w:color w:val="000000" w:themeColor="text1"/>
        </w:rPr>
        <w:t>,</w:t>
      </w:r>
      <w:r w:rsidR="00AA4D94" w:rsidRPr="00025BB5">
        <w:rPr>
          <w:rFonts w:ascii="Palatino Linotype" w:hAnsi="Palatino Linotype"/>
          <w:i/>
          <w:color w:val="000000" w:themeColor="text1"/>
        </w:rPr>
        <w:t xml:space="preserve"> 11, 13 y 14</w:t>
      </w:r>
      <w:r w:rsidRPr="00025BB5">
        <w:rPr>
          <w:rFonts w:ascii="Palatino Linotype" w:hAnsi="Palatino Linotype"/>
          <w:i/>
          <w:color w:val="000000" w:themeColor="text1"/>
        </w:rPr>
        <w:t xml:space="preserve"> no obre en sus archivos por no haberse generado, poseído o administrado por </w:t>
      </w:r>
      <w:r w:rsidRPr="00025BB5">
        <w:rPr>
          <w:rFonts w:ascii="Palatino Linotype" w:hAnsi="Palatino Linotype"/>
          <w:b/>
          <w:i/>
          <w:color w:val="000000" w:themeColor="text1"/>
        </w:rPr>
        <w:t>EL SUJETO OBLIGADO</w:t>
      </w:r>
      <w:r w:rsidRPr="00025BB5">
        <w:rPr>
          <w:rFonts w:ascii="Palatino Linotype" w:hAnsi="Palatino Linotype"/>
          <w:i/>
          <w:color w:val="000000" w:themeColor="text1"/>
        </w:rPr>
        <w:t xml:space="preserve">, deberá hacerlo del conocimiento a </w:t>
      </w:r>
      <w:r w:rsidRPr="00025BB5">
        <w:rPr>
          <w:rFonts w:ascii="Palatino Linotype" w:hAnsi="Palatino Linotype"/>
          <w:b/>
          <w:i/>
          <w:color w:val="000000" w:themeColor="text1"/>
        </w:rPr>
        <w:t>LA</w:t>
      </w:r>
      <w:r w:rsidRPr="00025BB5">
        <w:rPr>
          <w:rFonts w:ascii="Palatino Linotype" w:hAnsi="Palatino Linotype"/>
          <w:i/>
          <w:color w:val="000000" w:themeColor="text1"/>
        </w:rPr>
        <w:t xml:space="preserve"> </w:t>
      </w:r>
      <w:r w:rsidRPr="00025BB5">
        <w:rPr>
          <w:rFonts w:ascii="Palatino Linotype" w:hAnsi="Palatino Linotype"/>
          <w:b/>
          <w:i/>
          <w:color w:val="000000" w:themeColor="text1"/>
        </w:rPr>
        <w:t>RECURRENTE</w:t>
      </w:r>
      <w:r w:rsidRPr="00025BB5">
        <w:rPr>
          <w:rFonts w:ascii="Palatino Linotype" w:hAnsi="Palatino Linotype"/>
          <w:i/>
          <w:color w:val="000000" w:themeColor="text1"/>
        </w:rPr>
        <w:t>.</w:t>
      </w:r>
      <w:r w:rsidRPr="00025BB5">
        <w:rPr>
          <w:rFonts w:ascii="Palatino Linotype" w:hAnsi="Palatino Linotype"/>
          <w:i/>
          <w:iCs/>
          <w:color w:val="000000" w:themeColor="text1"/>
          <w:shd w:val="clear" w:color="auto" w:fill="FFFFFF"/>
        </w:rPr>
        <w:t>”</w:t>
      </w:r>
    </w:p>
    <w:p w:rsidR="004B22FF" w:rsidRPr="00AA4D94" w:rsidRDefault="004B22FF" w:rsidP="00E76891">
      <w:pPr>
        <w:pStyle w:val="Prrafodelista"/>
        <w:widowControl w:val="0"/>
        <w:numPr>
          <w:ilvl w:val="0"/>
          <w:numId w:val="2"/>
        </w:numPr>
        <w:tabs>
          <w:tab w:val="left" w:pos="1560"/>
        </w:tabs>
        <w:autoSpaceDE w:val="0"/>
        <w:autoSpaceDN w:val="0"/>
        <w:adjustRightInd w:val="0"/>
        <w:spacing w:before="360" w:after="240" w:line="360" w:lineRule="auto"/>
        <w:ind w:left="0" w:firstLine="0"/>
        <w:jc w:val="both"/>
        <w:rPr>
          <w:rFonts w:ascii="Palatino Linotype" w:hAnsi="Palatino Linotype"/>
          <w:shd w:val="clear" w:color="auto" w:fill="FFFFFF"/>
        </w:rPr>
      </w:pPr>
      <w:r w:rsidRPr="00AA4D94">
        <w:rPr>
          <w:rFonts w:ascii="Palatino Linotype" w:hAnsi="Palatino Linotype"/>
          <w:b/>
          <w:szCs w:val="17"/>
          <w:lang w:eastAsia="es-ES_tradnl"/>
        </w:rPr>
        <w:t>Notifíquese</w:t>
      </w:r>
      <w:r w:rsidRPr="00AA4D94">
        <w:rPr>
          <w:rFonts w:ascii="Palatino Linotype" w:hAnsi="Palatino Linotype"/>
          <w:szCs w:val="17"/>
          <w:lang w:eastAsia="es-ES_tradnl"/>
        </w:rPr>
        <w:t xml:space="preserve"> </w:t>
      </w:r>
      <w:r w:rsidRPr="00AA4D94">
        <w:rPr>
          <w:rFonts w:ascii="Palatino Linotype" w:hAnsi="Palatino Linotype"/>
          <w:shd w:val="clear" w:color="auto" w:fill="FFFFFF"/>
        </w:rPr>
        <w:t>al Titular de la Unidad de Transparencia del</w:t>
      </w:r>
      <w:r w:rsidRPr="00AA4D94">
        <w:rPr>
          <w:rStyle w:val="apple-converted-space"/>
          <w:rFonts w:ascii="Palatino Linotype" w:hAnsi="Palatino Linotype"/>
          <w:b/>
          <w:shd w:val="clear" w:color="auto" w:fill="FFFFFF"/>
        </w:rPr>
        <w:t xml:space="preserve"> </w:t>
      </w:r>
      <w:r w:rsidRPr="00AA4D94">
        <w:rPr>
          <w:rFonts w:ascii="Palatino Linotype" w:hAnsi="Palatino Linotype"/>
          <w:b/>
          <w:shd w:val="clear" w:color="auto" w:fill="FFFFFF"/>
        </w:rPr>
        <w:t>SUJETO OBLIGADO</w:t>
      </w:r>
      <w:r w:rsidRPr="00AA4D94">
        <w:rPr>
          <w:rFonts w:ascii="Palatino Linotype" w:hAnsi="Palatino Linotype"/>
          <w:shd w:val="clear" w:color="auto" w:fill="FFFFFF"/>
        </w:rPr>
        <w:t>, para que conforme a los artículos 186</w:t>
      </w:r>
      <w:r w:rsidR="00364582" w:rsidRPr="00AA4D94">
        <w:rPr>
          <w:rFonts w:ascii="Palatino Linotype" w:hAnsi="Palatino Linotype"/>
          <w:shd w:val="clear" w:color="auto" w:fill="FFFFFF"/>
        </w:rPr>
        <w:t>,</w:t>
      </w:r>
      <w:r w:rsidRPr="00AA4D94">
        <w:rPr>
          <w:rFonts w:ascii="Palatino Linotype" w:hAnsi="Palatino Linotype"/>
          <w:shd w:val="clear" w:color="auto" w:fill="FFFFFF"/>
        </w:rPr>
        <w:t xml:space="preserve"> último párrafo y 189</w:t>
      </w:r>
      <w:r w:rsidR="00364582" w:rsidRPr="00AA4D94">
        <w:rPr>
          <w:rFonts w:ascii="Palatino Linotype" w:hAnsi="Palatino Linotype"/>
          <w:shd w:val="clear" w:color="auto" w:fill="FFFFFF"/>
        </w:rPr>
        <w:t>,</w:t>
      </w:r>
      <w:r w:rsidRPr="00AA4D94">
        <w:rPr>
          <w:rFonts w:ascii="Palatino Linotype" w:hAnsi="Palatino Linotype"/>
          <w:shd w:val="clear" w:color="auto" w:fill="FFFFFF"/>
        </w:rPr>
        <w:t xml:space="preserve"> párrafo segundo de la Ley de Transparencia y Acceso a la Información Pública del Estado de México y Municipios, </w:t>
      </w:r>
      <w:r w:rsidRPr="00AA4D94">
        <w:rPr>
          <w:rFonts w:ascii="Palatino Linotype" w:hAnsi="Palatino Linotype"/>
          <w:lang w:eastAsia="es-ES_tradnl"/>
        </w:rPr>
        <w:t>dé</w:t>
      </w:r>
      <w:r w:rsidRPr="00AA4D94">
        <w:rPr>
          <w:rFonts w:ascii="Palatino Linotype" w:hAnsi="Palatino Linotype"/>
          <w:shd w:val="clear" w:color="auto" w:fill="FFFFFF"/>
        </w:rPr>
        <w:t xml:space="preserve"> </w:t>
      </w:r>
      <w:r w:rsidRPr="00AA4D94">
        <w:rPr>
          <w:rFonts w:ascii="Palatino Linotype" w:hAnsi="Palatino Linotype" w:cs="Arial"/>
        </w:rPr>
        <w:t>cumplimiento</w:t>
      </w:r>
      <w:r w:rsidRPr="00AA4D94">
        <w:rPr>
          <w:rFonts w:ascii="Palatino Linotype" w:hAnsi="Palatino Linotype"/>
          <w:shd w:val="clear" w:color="auto" w:fill="FFFFFF"/>
        </w:rPr>
        <w:t xml:space="preserve"> a lo ordenado dentro del plazo de diez días </w:t>
      </w:r>
      <w:r w:rsidRPr="00AA4D94">
        <w:rPr>
          <w:rFonts w:ascii="Palatino Linotype" w:hAnsi="Palatino Linotype"/>
          <w:lang w:eastAsia="es-ES_tradnl"/>
        </w:rPr>
        <w:t>hábiles</w:t>
      </w:r>
      <w:r w:rsidRPr="00AA4D94">
        <w:rPr>
          <w:rFonts w:ascii="Palatino Linotype" w:hAnsi="Palatino Linotype"/>
          <w:shd w:val="clear" w:color="auto" w:fill="FFFFFF"/>
        </w:rPr>
        <w:t xml:space="preserve">, debiendo informar a este Instituto en un plazo </w:t>
      </w:r>
      <w:r w:rsidRPr="00AA4D94">
        <w:rPr>
          <w:rFonts w:ascii="Palatino Linotype" w:hAnsi="Palatino Linotype"/>
          <w:szCs w:val="17"/>
          <w:lang w:eastAsia="es-ES_tradnl"/>
        </w:rPr>
        <w:t>de</w:t>
      </w:r>
      <w:r w:rsidRPr="00AA4D94">
        <w:rPr>
          <w:rFonts w:ascii="Palatino Linotype" w:hAnsi="Palatino Linotype"/>
          <w:shd w:val="clear" w:color="auto" w:fill="FFFFFF"/>
        </w:rPr>
        <w:t xml:space="preserve"> tres días hábiles siguientes </w:t>
      </w:r>
      <w:r w:rsidRPr="00AA4D94">
        <w:rPr>
          <w:rFonts w:ascii="Palatino Linotype" w:hAnsi="Palatino Linotype"/>
          <w:shd w:val="clear" w:color="auto" w:fill="FFFFFF"/>
        </w:rPr>
        <w:lastRenderedPageBreak/>
        <w:t>sobre el cumplimiento dado a la presente resolución.</w:t>
      </w:r>
    </w:p>
    <w:p w:rsidR="004B22FF" w:rsidRPr="00AA4D94" w:rsidRDefault="004B22FF" w:rsidP="00E76891">
      <w:pPr>
        <w:pStyle w:val="Prrafodelista"/>
        <w:widowControl w:val="0"/>
        <w:numPr>
          <w:ilvl w:val="0"/>
          <w:numId w:val="2"/>
        </w:numPr>
        <w:tabs>
          <w:tab w:val="left" w:pos="1560"/>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AA4D94">
        <w:rPr>
          <w:rFonts w:ascii="Palatino Linotype" w:hAnsi="Palatino Linotype"/>
          <w:b/>
          <w:szCs w:val="17"/>
          <w:lang w:eastAsia="es-ES_tradnl"/>
        </w:rPr>
        <w:t>Notifíquese</w:t>
      </w:r>
      <w:r w:rsidRPr="00AA4D94">
        <w:rPr>
          <w:rFonts w:ascii="Palatino Linotype" w:hAnsi="Palatino Linotype"/>
          <w:szCs w:val="17"/>
          <w:lang w:eastAsia="es-ES_tradnl"/>
        </w:rPr>
        <w:t xml:space="preserve"> </w:t>
      </w:r>
      <w:r w:rsidRPr="00AA4D94">
        <w:rPr>
          <w:rFonts w:ascii="Palatino Linotype" w:hAnsi="Palatino Linotype" w:cs="Arial"/>
        </w:rPr>
        <w:t>a</w:t>
      </w:r>
      <w:r w:rsidR="00364582" w:rsidRPr="00AA4D94">
        <w:rPr>
          <w:rFonts w:ascii="Palatino Linotype" w:hAnsi="Palatino Linotype" w:cs="Arial"/>
        </w:rPr>
        <w:t xml:space="preserve"> </w:t>
      </w:r>
      <w:r w:rsidR="00364582" w:rsidRPr="00AA4D94">
        <w:rPr>
          <w:rFonts w:ascii="Palatino Linotype" w:hAnsi="Palatino Linotype" w:cs="Arial"/>
          <w:b/>
        </w:rPr>
        <w:t>LA RECURRENTE</w:t>
      </w:r>
      <w:r w:rsidRPr="00AA4D94">
        <w:rPr>
          <w:rFonts w:ascii="Palatino Linotype" w:hAnsi="Palatino Linotype"/>
          <w:szCs w:val="17"/>
          <w:lang w:eastAsia="es-ES_tradnl"/>
        </w:rPr>
        <w:t xml:space="preserve"> la </w:t>
      </w:r>
      <w:r w:rsidRPr="00AA4D94">
        <w:rPr>
          <w:rFonts w:ascii="Palatino Linotype" w:hAnsi="Palatino Linotype"/>
          <w:shd w:val="clear" w:color="auto" w:fill="FFFFFF"/>
        </w:rPr>
        <w:t>presente</w:t>
      </w:r>
      <w:r w:rsidRPr="00AA4D94">
        <w:rPr>
          <w:rFonts w:ascii="Palatino Linotype" w:hAnsi="Palatino Linotype"/>
          <w:szCs w:val="17"/>
          <w:lang w:eastAsia="es-ES_tradnl"/>
        </w:rPr>
        <w:t xml:space="preserve"> </w:t>
      </w:r>
      <w:r w:rsidRPr="00AA4D94">
        <w:rPr>
          <w:rFonts w:ascii="Palatino Linotype" w:hAnsi="Palatino Linotype"/>
          <w:lang w:eastAsia="es-ES_tradnl"/>
        </w:rPr>
        <w:t>resolución</w:t>
      </w:r>
      <w:r w:rsidRPr="00AA4D94">
        <w:rPr>
          <w:rFonts w:ascii="Palatino Linotype" w:hAnsi="Palatino Linotype"/>
          <w:szCs w:val="17"/>
          <w:lang w:eastAsia="es-ES_tradnl"/>
        </w:rPr>
        <w:t>.</w:t>
      </w:r>
    </w:p>
    <w:p w:rsidR="004B22FF" w:rsidRPr="00AA4D94" w:rsidRDefault="004B22FF" w:rsidP="00E76891">
      <w:pPr>
        <w:pStyle w:val="Prrafodelista"/>
        <w:widowControl w:val="0"/>
        <w:numPr>
          <w:ilvl w:val="0"/>
          <w:numId w:val="2"/>
        </w:numPr>
        <w:tabs>
          <w:tab w:val="left" w:pos="1560"/>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AA4D94">
        <w:rPr>
          <w:rFonts w:ascii="Palatino Linotype" w:hAnsi="Palatino Linotype"/>
          <w:b/>
          <w:szCs w:val="17"/>
          <w:lang w:eastAsia="es-ES_tradnl"/>
        </w:rPr>
        <w:t>Hágase del conocimiento</w:t>
      </w:r>
      <w:r w:rsidRPr="00AA4D94">
        <w:rPr>
          <w:rFonts w:ascii="Palatino Linotype" w:hAnsi="Palatino Linotype"/>
          <w:szCs w:val="17"/>
          <w:lang w:eastAsia="es-ES_tradnl"/>
        </w:rPr>
        <w:t xml:space="preserve"> </w:t>
      </w:r>
      <w:r w:rsidRPr="00AA4D94">
        <w:rPr>
          <w:rFonts w:ascii="Palatino Linotype" w:hAnsi="Palatino Linotype" w:cs="Arial"/>
        </w:rPr>
        <w:t>a</w:t>
      </w:r>
      <w:r w:rsidR="00364582" w:rsidRPr="00AA4D94">
        <w:rPr>
          <w:rFonts w:ascii="Palatino Linotype" w:hAnsi="Palatino Linotype" w:cs="Arial"/>
        </w:rPr>
        <w:t xml:space="preserve"> </w:t>
      </w:r>
      <w:r w:rsidR="00364582" w:rsidRPr="00AA4D94">
        <w:rPr>
          <w:rFonts w:ascii="Palatino Linotype" w:hAnsi="Palatino Linotype" w:cs="Arial"/>
          <w:b/>
        </w:rPr>
        <w:t>LA RECURRENTE</w:t>
      </w:r>
      <w:r w:rsidRPr="00AA4D94">
        <w:rPr>
          <w:rFonts w:ascii="Palatino Linotype" w:hAnsi="Palatino Linotype"/>
          <w:szCs w:val="17"/>
          <w:lang w:eastAsia="es-ES_tradnl"/>
        </w:rPr>
        <w:t xml:space="preserve"> que de </w:t>
      </w:r>
      <w:r w:rsidRPr="00AA4D94">
        <w:rPr>
          <w:rFonts w:ascii="Palatino Linotype" w:hAnsi="Palatino Linotype"/>
          <w:shd w:val="clear" w:color="auto" w:fill="FFFFFF"/>
        </w:rPr>
        <w:t>conformidad</w:t>
      </w:r>
      <w:r w:rsidRPr="00AA4D94">
        <w:rPr>
          <w:rFonts w:ascii="Palatino Linotype" w:hAnsi="Palatino Linotype"/>
          <w:szCs w:val="17"/>
          <w:lang w:eastAsia="es-ES_tradnl"/>
        </w:rPr>
        <w:t xml:space="preserve"> con lo </w:t>
      </w:r>
      <w:r w:rsidRPr="00AA4D94">
        <w:rPr>
          <w:rFonts w:ascii="Palatino Linotype" w:hAnsi="Palatino Linotype" w:cs="Arial"/>
        </w:rPr>
        <w:t>establecido</w:t>
      </w:r>
      <w:r w:rsidRPr="00AA4D94">
        <w:rPr>
          <w:rFonts w:ascii="Palatino Linotype" w:hAnsi="Palatino Linotype"/>
          <w:szCs w:val="17"/>
          <w:lang w:eastAsia="es-ES_tradnl"/>
        </w:rPr>
        <w:t xml:space="preserve"> en el artículo 196 de la Ley de </w:t>
      </w:r>
      <w:r w:rsidRPr="00AA4D94">
        <w:rPr>
          <w:rFonts w:ascii="Palatino Linotype" w:hAnsi="Palatino Linotype"/>
          <w:shd w:val="clear" w:color="auto" w:fill="FFFFFF"/>
        </w:rPr>
        <w:t>Transparencia</w:t>
      </w:r>
      <w:r w:rsidRPr="00AA4D94">
        <w:rPr>
          <w:rFonts w:ascii="Palatino Linotype" w:hAnsi="Palatino Linotype"/>
          <w:szCs w:val="17"/>
          <w:lang w:eastAsia="es-ES_tradnl"/>
        </w:rPr>
        <w:t xml:space="preserve"> y Acceso a la </w:t>
      </w:r>
      <w:r w:rsidRPr="00AA4D94">
        <w:rPr>
          <w:rFonts w:ascii="Palatino Linotype" w:hAnsi="Palatino Linotype" w:cs="Arial"/>
        </w:rPr>
        <w:t>Información</w:t>
      </w:r>
      <w:r w:rsidRPr="00AA4D94">
        <w:rPr>
          <w:rFonts w:ascii="Palatino Linotype" w:hAnsi="Palatino Linotype"/>
          <w:szCs w:val="17"/>
          <w:lang w:eastAsia="es-ES_tradnl"/>
        </w:rPr>
        <w:t xml:space="preserve"> </w:t>
      </w:r>
      <w:r w:rsidRPr="00AA4D94">
        <w:rPr>
          <w:rFonts w:ascii="Palatino Linotype" w:hAnsi="Palatino Linotype"/>
          <w:lang w:eastAsia="es-ES_tradnl"/>
        </w:rPr>
        <w:t>Pública</w:t>
      </w:r>
      <w:r w:rsidRPr="00AA4D94">
        <w:rPr>
          <w:rFonts w:ascii="Palatino Linotype" w:hAnsi="Palatino Linotype"/>
          <w:szCs w:val="17"/>
          <w:lang w:eastAsia="es-ES_tradnl"/>
        </w:rPr>
        <w:t xml:space="preserve"> del Estado de </w:t>
      </w:r>
      <w:r w:rsidRPr="00AA4D94">
        <w:rPr>
          <w:rFonts w:ascii="Palatino Linotype" w:hAnsi="Palatino Linotype"/>
          <w:lang w:eastAsia="es-ES_tradnl"/>
        </w:rPr>
        <w:t>México</w:t>
      </w:r>
      <w:r w:rsidRPr="00AA4D94">
        <w:rPr>
          <w:rFonts w:ascii="Palatino Linotype" w:hAnsi="Palatino Linotype"/>
          <w:szCs w:val="17"/>
          <w:lang w:eastAsia="es-ES_tradnl"/>
        </w:rPr>
        <w:t xml:space="preserve"> y Municipios, podrá impugnarla vía Juicio de Amparo en los términos de las leyes aplicables.</w:t>
      </w:r>
    </w:p>
    <w:p w:rsidR="001B5231" w:rsidRPr="00AA4D94" w:rsidRDefault="001B5231" w:rsidP="00136A1E">
      <w:pPr>
        <w:pStyle w:val="Prrafodelista"/>
        <w:widowControl w:val="0"/>
        <w:numPr>
          <w:ilvl w:val="0"/>
          <w:numId w:val="2"/>
        </w:numPr>
        <w:tabs>
          <w:tab w:val="left" w:pos="1276"/>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A4D94">
        <w:rPr>
          <w:rFonts w:ascii="Palatino Linotype" w:hAnsi="Palatino Linotype"/>
          <w:b/>
          <w:lang w:eastAsia="es-ES_tradnl"/>
        </w:rPr>
        <w:t>Gírese</w:t>
      </w:r>
      <w:r w:rsidRPr="00AA4D94">
        <w:rPr>
          <w:rFonts w:ascii="Palatino Linotype" w:hAnsi="Palatino Linotype"/>
          <w:lang w:eastAsia="es-ES_tradnl"/>
        </w:rPr>
        <w:t xml:space="preserve"> oficio </w:t>
      </w:r>
      <w:r w:rsidRPr="00AA4D94">
        <w:rPr>
          <w:rFonts w:ascii="Palatino Linotype" w:hAnsi="Palatino Linotype"/>
          <w:szCs w:val="17"/>
          <w:lang w:eastAsia="es-ES_tradnl"/>
        </w:rPr>
        <w:t>al</w:t>
      </w:r>
      <w:r w:rsidRPr="00AA4D94">
        <w:rPr>
          <w:rFonts w:ascii="Palatino Linotype" w:hAnsi="Palatino Linotype"/>
          <w:lang w:eastAsia="es-ES_tradnl"/>
        </w:rPr>
        <w:t xml:space="preserve"> Titular de la </w:t>
      </w:r>
      <w:r w:rsidRPr="00AA4D94">
        <w:rPr>
          <w:rFonts w:ascii="Palatino Linotype" w:hAnsi="Palatino Linotype"/>
          <w:shd w:val="clear" w:color="auto" w:fill="FFFFFF"/>
        </w:rPr>
        <w:t>Contraloría</w:t>
      </w:r>
      <w:r w:rsidRPr="00AA4D94">
        <w:rPr>
          <w:rFonts w:ascii="Palatino Linotype" w:hAnsi="Palatino Linotype"/>
          <w:lang w:eastAsia="es-ES_tradnl"/>
        </w:rPr>
        <w:t xml:space="preserve"> Interna y Órgano de Control y Vigilancia de este Instituto, de </w:t>
      </w:r>
      <w:r w:rsidRPr="00AA4D94">
        <w:rPr>
          <w:rFonts w:ascii="Palatino Linotype" w:eastAsiaTheme="minorEastAsia" w:hAnsi="Palatino Linotype"/>
          <w:color w:val="222222"/>
          <w:lang w:eastAsia="es-ES_tradnl"/>
        </w:rPr>
        <w:t>conformidad</w:t>
      </w:r>
      <w:r w:rsidRPr="00AA4D94">
        <w:rPr>
          <w:rFonts w:ascii="Palatino Linotype" w:hAnsi="Palatino Linotype"/>
          <w:lang w:eastAsia="es-ES_tradnl"/>
        </w:rPr>
        <w:t xml:space="preserve"> con el artículo 190 de la Ley de Transparencia y Acceso a la Información Pública del Estado de México y Municipios determine lo conducente, en términos del Considerando </w:t>
      </w:r>
      <w:r w:rsidRPr="00AA4D94">
        <w:rPr>
          <w:rFonts w:ascii="Palatino Linotype" w:hAnsi="Palatino Linotype" w:cs="Arial"/>
          <w:b/>
        </w:rPr>
        <w:t xml:space="preserve">QUINTO </w:t>
      </w:r>
      <w:r w:rsidRPr="00AA4D94">
        <w:rPr>
          <w:rFonts w:ascii="Palatino Linotype" w:hAnsi="Palatino Linotype"/>
          <w:lang w:eastAsia="es-ES_tradnl"/>
        </w:rPr>
        <w:t>de la presente resolución.</w:t>
      </w:r>
    </w:p>
    <w:p w:rsidR="00FD4C85" w:rsidRDefault="00FD4C85" w:rsidP="007E0219">
      <w:pPr>
        <w:spacing w:before="200" w:line="360" w:lineRule="auto"/>
        <w:jc w:val="both"/>
        <w:rPr>
          <w:rFonts w:ascii="Palatino Linotype" w:hAnsi="Palatino Linotype" w:cs="Arial"/>
        </w:rPr>
      </w:pPr>
      <w:r w:rsidRPr="00FD4C85">
        <w:rPr>
          <w:rFonts w:ascii="Palatino Linotype" w:hAnsi="Palatino Linotype" w:cs="Arial"/>
        </w:rPr>
        <w:t>ASÍ LO RESUELVE</w:t>
      </w:r>
      <w:r w:rsidRPr="00FF77E9">
        <w:rPr>
          <w:rFonts w:ascii="Palatino Linotype" w:hAnsi="Palatino Linotype" w:cs="Arial"/>
        </w:rPr>
        <w:t>, POR UNANIMIDAD DE VOTOS EL PLENO DEL</w:t>
      </w:r>
      <w:r w:rsidRPr="00FF77E9">
        <w:rPr>
          <w:rFonts w:ascii="Palatino Linotype" w:eastAsia="Arial Unicode MS" w:hAnsi="Palatino Linotype" w:cs="Arial"/>
        </w:rPr>
        <w:t xml:space="preserve"> INSTITUTO DE </w:t>
      </w:r>
      <w:r w:rsidRPr="00FF77E9">
        <w:rPr>
          <w:rFonts w:ascii="Palatino Linotype" w:hAnsi="Palatino Linotype"/>
          <w:lang w:eastAsia="en-US"/>
        </w:rPr>
        <w:t>TRANSPARENCIA</w:t>
      </w:r>
      <w:r w:rsidRPr="00FF77E9">
        <w:rPr>
          <w:rFonts w:ascii="Palatino Linotype" w:eastAsia="Arial Unicode MS" w:hAnsi="Palatino Linotype" w:cs="Arial"/>
        </w:rPr>
        <w:t>, ACCESO A LA INFORMACIÓN PÚBLICA Y PROTECCIÓN DE DATOS PERSONALES DEL ESTADO DE MÉXICO Y MUNICIPIOS</w:t>
      </w:r>
      <w:r w:rsidRPr="00FF77E9">
        <w:rPr>
          <w:rFonts w:ascii="Palatino Linotype" w:hAnsi="Palatino Linotype" w:cs="Arial"/>
        </w:rPr>
        <w:t>, CONFORMADO POR LOS COMISIONADOS ZULEMA MARTÍNEZ SÁNCHEZ; EVA ABAID YAPUR; JOSÉ GUADALUPE LUNA HERNÁNDEZ</w:t>
      </w:r>
      <w:r w:rsidR="00FF77E9" w:rsidRPr="00FF77E9">
        <w:rPr>
          <w:rFonts w:ascii="Palatino Linotype" w:hAnsi="Palatino Linotype" w:cs="Arial"/>
        </w:rPr>
        <w:t xml:space="preserve"> EMITIENDO VOTO PARTICULAR</w:t>
      </w:r>
      <w:r w:rsidRPr="00FF77E9">
        <w:rPr>
          <w:rFonts w:ascii="Palatino Linotype" w:hAnsi="Palatino Linotype" w:cs="Arial"/>
        </w:rPr>
        <w:t>; JAVIER MARTÍNEZ CRUZ Y LUIS GUSTAVO PARRA NORIEGA; EN</w:t>
      </w:r>
      <w:r w:rsidRPr="00FF77E9">
        <w:rPr>
          <w:rFonts w:ascii="Palatino Linotype" w:hAnsi="Palatino Linotype" w:cs="Arial"/>
          <w:shd w:val="clear" w:color="auto" w:fill="FFFFFF" w:themeFill="background1"/>
        </w:rPr>
        <w:t xml:space="preserve"> LA </w:t>
      </w:r>
      <w:r w:rsidR="00AA321D" w:rsidRPr="00FF77E9">
        <w:rPr>
          <w:rFonts w:ascii="Palatino Linotype" w:hAnsi="Palatino Linotype" w:cs="Arial"/>
        </w:rPr>
        <w:t>NOVENA</w:t>
      </w:r>
      <w:r w:rsidRPr="00FF77E9">
        <w:rPr>
          <w:rFonts w:ascii="Palatino Linotype" w:hAnsi="Palatino Linotype" w:cs="Arial"/>
        </w:rPr>
        <w:t xml:space="preserve"> SESIÓN ORDINARIA CELEBRADA EL </w:t>
      </w:r>
      <w:r w:rsidR="004B22FF" w:rsidRPr="00FF77E9">
        <w:rPr>
          <w:rFonts w:ascii="Palatino Linotype" w:hAnsi="Palatino Linotype" w:cs="Arial"/>
        </w:rPr>
        <w:t xml:space="preserve">DÍA </w:t>
      </w:r>
      <w:r w:rsidR="00AA321D" w:rsidRPr="00FF77E9">
        <w:rPr>
          <w:rFonts w:ascii="Palatino Linotype" w:hAnsi="Palatino Linotype" w:cs="Arial"/>
        </w:rPr>
        <w:t>SEIS</w:t>
      </w:r>
      <w:r w:rsidR="004B22FF" w:rsidRPr="00FF77E9">
        <w:rPr>
          <w:rFonts w:ascii="Palatino Linotype" w:hAnsi="Palatino Linotype" w:cs="Arial"/>
        </w:rPr>
        <w:t xml:space="preserve"> DE </w:t>
      </w:r>
      <w:r w:rsidR="00AA321D" w:rsidRPr="00FF77E9">
        <w:rPr>
          <w:rFonts w:ascii="Palatino Linotype" w:hAnsi="Palatino Linotype" w:cs="Arial"/>
        </w:rPr>
        <w:t>MARZO</w:t>
      </w:r>
      <w:r w:rsidR="004B22FF" w:rsidRPr="00FF77E9">
        <w:rPr>
          <w:rFonts w:ascii="Palatino Linotype" w:hAnsi="Palatino Linotype" w:cs="Arial"/>
        </w:rPr>
        <w:t xml:space="preserve"> DE DOS MIL DIECINUEVE</w:t>
      </w:r>
      <w:r w:rsidRPr="00FF77E9">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7D03AC" w:rsidRDefault="007D03AC"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43150B" w:rsidRDefault="0043150B" w:rsidP="00CF4866">
            <w:pPr>
              <w:jc w:val="center"/>
              <w:rPr>
                <w:rFonts w:ascii="Palatino Linotype" w:hAnsi="Palatino Linotype" w:cs="Arial"/>
                <w:b/>
                <w:lang w:val="es-ES_tradnl"/>
              </w:rPr>
            </w:pPr>
          </w:p>
          <w:p w:rsidR="00FF77E9" w:rsidRDefault="00FF77E9" w:rsidP="00CF4866">
            <w:pPr>
              <w:jc w:val="center"/>
              <w:rPr>
                <w:rFonts w:ascii="Palatino Linotype" w:hAnsi="Palatino Linotype" w:cs="Arial"/>
                <w:b/>
                <w:lang w:val="es-ES_tradnl"/>
              </w:rPr>
            </w:pPr>
          </w:p>
          <w:p w:rsidR="00FF77E9" w:rsidRDefault="00FF77E9" w:rsidP="00CF4866">
            <w:pPr>
              <w:jc w:val="center"/>
              <w:rPr>
                <w:rFonts w:ascii="Palatino Linotype" w:hAnsi="Palatino Linotype" w:cs="Arial"/>
                <w:b/>
                <w:lang w:val="es-ES_tradnl"/>
              </w:rPr>
            </w:pPr>
          </w:p>
          <w:p w:rsidR="00FF77E9" w:rsidRPr="00E35118" w:rsidRDefault="00FF77E9"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6231AF">
              <w:rPr>
                <w:rFonts w:ascii="Palatino Linotype" w:hAnsi="Palatino Linotype" w:cs="Arial"/>
                <w:b/>
                <w:color w:val="FFFFFF" w:themeColor="background1"/>
                <w:lang w:val="es-ES_tradnl"/>
              </w:rPr>
              <w:t xml:space="preserve">(RÚBRICA) </w:t>
            </w:r>
          </w:p>
        </w:tc>
      </w:tr>
      <w:tr w:rsidR="00C46003" w:rsidRPr="00E35118" w:rsidTr="00CF4866">
        <w:trPr>
          <w:jc w:val="center"/>
        </w:trPr>
        <w:tc>
          <w:tcPr>
            <w:tcW w:w="5182" w:type="dxa"/>
            <w:shd w:val="clear" w:color="auto" w:fill="auto"/>
          </w:tcPr>
          <w:p w:rsidR="004B22FF" w:rsidRDefault="004B22FF"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136A1E" w:rsidRDefault="00136A1E"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6231AF">
              <w:rPr>
                <w:rFonts w:ascii="Palatino Linotype" w:hAnsi="Palatino Linotype" w:cs="Arial"/>
                <w:b/>
                <w:color w:val="FFFFFF" w:themeColor="background1"/>
                <w:lang w:val="es-ES_tradnl"/>
              </w:rPr>
              <w:t>(RÚBRICA)</w:t>
            </w:r>
          </w:p>
        </w:tc>
        <w:tc>
          <w:tcPr>
            <w:tcW w:w="5183" w:type="dxa"/>
            <w:shd w:val="clear" w:color="auto" w:fill="auto"/>
          </w:tcPr>
          <w:p w:rsidR="004B22FF" w:rsidRDefault="004B22FF"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6A3656" w:rsidRPr="00E35118" w:rsidRDefault="006A3656"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6231AF">
              <w:rPr>
                <w:rFonts w:ascii="Palatino Linotype" w:hAnsi="Palatino Linotype" w:cs="Arial"/>
                <w:b/>
                <w:color w:val="FFFFFF" w:themeColor="background1"/>
                <w:lang w:val="es-ES_tradnl"/>
              </w:rPr>
              <w:t>(RÚBRICA)</w:t>
            </w:r>
          </w:p>
        </w:tc>
      </w:tr>
      <w:tr w:rsidR="00C46003" w:rsidRPr="00E35118" w:rsidTr="00CF4866">
        <w:trPr>
          <w:jc w:val="center"/>
        </w:trPr>
        <w:tc>
          <w:tcPr>
            <w:tcW w:w="5182" w:type="dxa"/>
            <w:shd w:val="clear" w:color="auto" w:fill="auto"/>
          </w:tcPr>
          <w:p w:rsidR="00C46003" w:rsidRDefault="00C46003"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6231AF">
              <w:rPr>
                <w:rFonts w:ascii="Palatino Linotype" w:hAnsi="Palatino Linotype" w:cs="Arial"/>
                <w:b/>
                <w:color w:val="FFFFFF" w:themeColor="background1"/>
                <w:lang w:val="es-ES_tradnl"/>
              </w:rPr>
              <w:t>(RÚBRICA)</w:t>
            </w:r>
          </w:p>
        </w:tc>
        <w:tc>
          <w:tcPr>
            <w:tcW w:w="5183" w:type="dxa"/>
            <w:shd w:val="clear" w:color="auto" w:fill="auto"/>
          </w:tcPr>
          <w:p w:rsidR="00C46003" w:rsidRDefault="00C46003"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595317" w:rsidRPr="00E35118" w:rsidRDefault="00595317"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6231AF">
              <w:rPr>
                <w:rFonts w:ascii="Palatino Linotype" w:hAnsi="Palatino Linotype" w:cs="Arial"/>
                <w:b/>
                <w:color w:val="FFFFFF" w:themeColor="background1"/>
                <w:lang w:val="es-ES_tradnl"/>
              </w:rPr>
              <w:t>(RÚBRICA)</w:t>
            </w:r>
          </w:p>
        </w:tc>
      </w:tr>
      <w:tr w:rsidR="00C46003" w:rsidRPr="00E35118" w:rsidTr="00CF4866">
        <w:trPr>
          <w:jc w:val="center"/>
        </w:trPr>
        <w:tc>
          <w:tcPr>
            <w:tcW w:w="10365" w:type="dxa"/>
            <w:gridSpan w:val="2"/>
            <w:shd w:val="clear" w:color="auto" w:fill="auto"/>
          </w:tcPr>
          <w:p w:rsidR="00CC45F2" w:rsidRDefault="00CC45F2" w:rsidP="00CF4866">
            <w:pPr>
              <w:jc w:val="center"/>
              <w:rPr>
                <w:rFonts w:ascii="Palatino Linotype" w:hAnsi="Palatino Linotype" w:cs="Arial"/>
                <w:b/>
                <w:lang w:val="es-ES_tradnl"/>
              </w:rPr>
            </w:pPr>
          </w:p>
          <w:p w:rsidR="0043150B" w:rsidRDefault="0043150B"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6A3656" w:rsidRDefault="006A3656"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6231AF">
              <w:rPr>
                <w:rFonts w:ascii="Palatino Linotype" w:hAnsi="Palatino Linotype" w:cs="Arial"/>
                <w:b/>
                <w:color w:val="FFFFFF" w:themeColor="background1"/>
                <w:lang w:val="es-ES_tradnl"/>
              </w:rPr>
              <w:t>(RÚBRICA)</w:t>
            </w:r>
            <w:r w:rsidRPr="006231AF">
              <w:rPr>
                <w:rFonts w:ascii="Palatino Linotype" w:hAnsi="Palatino Linotype" w:cs="Arial"/>
                <w:color w:val="FFFFFF" w:themeColor="background1"/>
                <w:lang w:val="es-ES_tradnl"/>
              </w:rPr>
              <w:t xml:space="preserve"> </w:t>
            </w:r>
          </w:p>
        </w:tc>
      </w:tr>
    </w:tbl>
    <w:p w:rsidR="006A3656" w:rsidRDefault="006A3656" w:rsidP="00136A1E">
      <w:pPr>
        <w:jc w:val="both"/>
        <w:rPr>
          <w:rFonts w:ascii="Palatino Linotype" w:hAnsi="Palatino Linotype" w:cs="Arial"/>
          <w:sz w:val="22"/>
          <w:szCs w:val="22"/>
          <w:lang w:val="es-ES"/>
        </w:rPr>
      </w:pPr>
    </w:p>
    <w:p w:rsidR="00136A1E" w:rsidRDefault="00136A1E" w:rsidP="00136A1E">
      <w:pPr>
        <w:jc w:val="both"/>
        <w:rPr>
          <w:rFonts w:ascii="Palatino Linotype" w:hAnsi="Palatino Linotype" w:cs="Arial"/>
          <w:sz w:val="22"/>
          <w:szCs w:val="22"/>
          <w:lang w:val="es-ES"/>
        </w:rPr>
      </w:pPr>
    </w:p>
    <w:p w:rsidR="000104F0" w:rsidRPr="00E35118" w:rsidRDefault="000104F0" w:rsidP="00595317">
      <w:pPr>
        <w:spacing w:before="24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6D2F63" w:rsidRPr="006D2F63">
        <w:rPr>
          <w:rFonts w:ascii="Palatino Linotype" w:hAnsi="Palatino Linotype" w:cs="Arial"/>
          <w:sz w:val="22"/>
          <w:szCs w:val="22"/>
          <w:lang w:val="es-ES"/>
        </w:rPr>
        <w:t>seis de marzo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4E6868">
        <w:rPr>
          <w:rFonts w:ascii="Palatino Linotype" w:hAnsi="Palatino Linotype" w:cs="Arial"/>
          <w:sz w:val="22"/>
          <w:szCs w:val="22"/>
          <w:lang w:val="es-ES"/>
        </w:rPr>
        <w:t>04782/INFOEM/IP/RR/2018</w:t>
      </w:r>
      <w:r w:rsidRPr="00E3511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0104F0"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840" w:rsidRDefault="00112840" w:rsidP="00C80F8C">
      <w:r>
        <w:separator/>
      </w:r>
    </w:p>
  </w:endnote>
  <w:endnote w:type="continuationSeparator" w:id="0">
    <w:p w:rsidR="00112840" w:rsidRDefault="001128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8F" w:rsidRPr="00A2780F" w:rsidRDefault="005E5D8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20D71">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20D71">
      <w:rPr>
        <w:rFonts w:ascii="Arial" w:hAnsi="Arial" w:cs="Arial"/>
        <w:b/>
        <w:bCs/>
        <w:noProof/>
        <w:sz w:val="20"/>
        <w:szCs w:val="20"/>
      </w:rPr>
      <w:t>89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8F" w:rsidRDefault="005E5D8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20D7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20D71">
      <w:rPr>
        <w:rFonts w:ascii="Arial" w:hAnsi="Arial" w:cs="Arial"/>
        <w:b/>
        <w:bCs/>
        <w:noProof/>
        <w:sz w:val="20"/>
        <w:szCs w:val="20"/>
      </w:rPr>
      <w:t>89</w:t>
    </w:r>
    <w:r w:rsidRPr="00986599">
      <w:rPr>
        <w:rFonts w:ascii="Arial" w:hAnsi="Arial" w:cs="Arial"/>
        <w:b/>
        <w:bCs/>
        <w:sz w:val="20"/>
        <w:szCs w:val="20"/>
      </w:rPr>
      <w:fldChar w:fldCharType="end"/>
    </w:r>
  </w:p>
  <w:p w:rsidR="005E5D8F" w:rsidRPr="00070856" w:rsidRDefault="005E5D8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840" w:rsidRDefault="00112840" w:rsidP="00C80F8C">
      <w:r>
        <w:separator/>
      </w:r>
    </w:p>
  </w:footnote>
  <w:footnote w:type="continuationSeparator" w:id="0">
    <w:p w:rsidR="00112840" w:rsidRDefault="00112840" w:rsidP="00C80F8C">
      <w:r>
        <w:continuationSeparator/>
      </w:r>
    </w:p>
  </w:footnote>
  <w:footnote w:id="1">
    <w:p w:rsidR="005E5D8F" w:rsidRPr="006041C5" w:rsidRDefault="005E5D8F" w:rsidP="0036224F">
      <w:pPr>
        <w:pStyle w:val="Textonotapie"/>
        <w:jc w:val="both"/>
        <w:rPr>
          <w:rFonts w:ascii="Palatino Linotype" w:hAnsi="Palatino Linotype"/>
        </w:rPr>
      </w:pPr>
      <w:r>
        <w:rPr>
          <w:rStyle w:val="Refdenotaalpie"/>
        </w:rPr>
        <w:footnoteRef/>
      </w:r>
      <w:r w:rsidRPr="001D5E80">
        <w:rPr>
          <w:rFonts w:ascii="Palatino Linotype" w:hAnsi="Palatino Linotype"/>
          <w:sz w:val="16"/>
          <w:szCs w:val="16"/>
        </w:rPr>
        <w:t xml:space="preserve"> </w:t>
      </w:r>
      <w:r w:rsidRPr="0036224F">
        <w:rPr>
          <w:rStyle w:val="Hipervnculo"/>
          <w:rFonts w:ascii="Palatino Linotype" w:hAnsi="Palatino Linotype"/>
          <w:color w:val="auto"/>
          <w:sz w:val="16"/>
          <w:szCs w:val="16"/>
          <w:shd w:val="clear" w:color="auto" w:fill="FFFFFF"/>
        </w:rPr>
        <w:t>Programa de modernización del Alumbrado Públi</w:t>
      </w:r>
      <w:r>
        <w:rPr>
          <w:rStyle w:val="Hipervnculo"/>
          <w:rFonts w:ascii="Palatino Linotype" w:hAnsi="Palatino Linotype"/>
          <w:color w:val="auto"/>
          <w:sz w:val="16"/>
          <w:szCs w:val="16"/>
          <w:shd w:val="clear" w:color="auto" w:fill="FFFFFF"/>
        </w:rPr>
        <w:t xml:space="preserve">co, periodo 2011–2017, consultable en la liga electrónica </w:t>
      </w:r>
      <w:r w:rsidRPr="0036224F">
        <w:rPr>
          <w:rStyle w:val="Hipervnculo"/>
          <w:rFonts w:ascii="Palatino Linotype" w:hAnsi="Palatino Linotype"/>
          <w:color w:val="auto"/>
          <w:sz w:val="16"/>
          <w:szCs w:val="16"/>
          <w:shd w:val="clear" w:color="auto" w:fill="FFFFFF"/>
        </w:rPr>
        <w:t>http://obrapublica.edomex.gob.mx/sites/infraestructura.edomex.gob.mx/files/files/Administracion_y_Construccion/pdf/DGE/A-Publico.pdf</w:t>
      </w:r>
    </w:p>
  </w:footnote>
  <w:footnote w:id="2">
    <w:p w:rsidR="005E5D8F" w:rsidRDefault="005E5D8F">
      <w:pPr>
        <w:pStyle w:val="Textonotapie"/>
      </w:pPr>
      <w:r>
        <w:rPr>
          <w:rStyle w:val="Refdenotaalpie"/>
        </w:rPr>
        <w:footnoteRef/>
      </w:r>
      <w:r>
        <w:t xml:space="preserve"> </w:t>
      </w:r>
      <w:r w:rsidRPr="00340F86">
        <w:rPr>
          <w:rFonts w:ascii="Palatino Linotype" w:hAnsi="Palatino Linotype"/>
          <w:sz w:val="16"/>
        </w:rPr>
        <w:t>Consultable en la liga electrónica https://www.cfe.mx/Casa/InformacionCliente/Pages/Conoce-tu-recibo.aspx</w:t>
      </w:r>
    </w:p>
  </w:footnote>
  <w:footnote w:id="3">
    <w:p w:rsidR="005E5D8F" w:rsidRPr="00D84227" w:rsidRDefault="005E5D8F">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 xml:space="preserve">Consultable en las ligas electrónicas </w:t>
      </w:r>
      <w:r w:rsidRPr="00D84227">
        <w:rPr>
          <w:rFonts w:ascii="Palatino Linotype" w:hAnsi="Palatino Linotype"/>
          <w:sz w:val="16"/>
          <w:szCs w:val="16"/>
        </w:rPr>
        <w:t>http://legislacion.edomex.gob.mx/sites/legislacion.edomex.gob.mx/files/files/pdf/gct/2017/may085.pdf</w:t>
      </w:r>
      <w:r>
        <w:rPr>
          <w:rFonts w:ascii="Palatino Linotype" w:hAnsi="Palatino Linotype"/>
          <w:sz w:val="16"/>
          <w:szCs w:val="16"/>
        </w:rPr>
        <w:t xml:space="preserve">, </w:t>
      </w:r>
      <w:r w:rsidRPr="00D84227">
        <w:rPr>
          <w:rFonts w:ascii="Palatino Linotype" w:hAnsi="Palatino Linotype"/>
          <w:sz w:val="16"/>
          <w:szCs w:val="16"/>
        </w:rPr>
        <w:t>http://legislacion.edomex.gob.mx/sites/legislacion.edomex.gob.mx/files/files/pdf/gct/2018/mar124.pdf</w:t>
      </w:r>
      <w:r>
        <w:rPr>
          <w:rFonts w:ascii="Palatino Linotype" w:hAnsi="Palatino Linotype"/>
          <w:sz w:val="16"/>
          <w:szCs w:val="16"/>
        </w:rPr>
        <w:t xml:space="preserve">, </w:t>
      </w:r>
      <w:r w:rsidRPr="00D84227">
        <w:rPr>
          <w:rFonts w:ascii="Palatino Linotype" w:hAnsi="Palatino Linotype"/>
          <w:sz w:val="16"/>
          <w:szCs w:val="16"/>
        </w:rPr>
        <w:t>https://legislacion.edomex.gob.mx/sites/legislacion.edomex.gob.mx/files/files/pdf/gct/2015/feb244.pdf</w:t>
      </w:r>
      <w:r>
        <w:rPr>
          <w:rFonts w:ascii="Palatino Linotype" w:hAnsi="Palatino Linotype"/>
          <w:sz w:val="16"/>
          <w:szCs w:val="16"/>
        </w:rPr>
        <w:t xml:space="preserve">, </w:t>
      </w:r>
      <w:r w:rsidRPr="00D84227">
        <w:rPr>
          <w:rFonts w:ascii="Palatino Linotype" w:hAnsi="Palatino Linotype"/>
          <w:sz w:val="16"/>
          <w:szCs w:val="16"/>
        </w:rPr>
        <w:t>http://legislacion.edomex.gob.mx/sites/legislacion.edomex.gob.mx/files/files/pdf/gct/2016/may034.pdf</w:t>
      </w:r>
      <w:r>
        <w:rPr>
          <w:rFonts w:ascii="Palatino Linotype" w:hAnsi="Palatino Linotype"/>
          <w:sz w:val="16"/>
          <w:szCs w:val="16"/>
        </w:rPr>
        <w:t xml:space="preserve"> y </w:t>
      </w:r>
      <w:r w:rsidRPr="007F2745">
        <w:rPr>
          <w:rFonts w:ascii="Palatino Linotype" w:hAnsi="Palatino Linotype"/>
          <w:sz w:val="16"/>
          <w:szCs w:val="16"/>
        </w:rPr>
        <w:t>https://legislacion.edomex.gob.mx/sites/legislacion.edomex.gob.mx/files/files/vigentes/ene083.PDF</w:t>
      </w:r>
      <w:r>
        <w:rPr>
          <w:rFonts w:ascii="Palatino Linotype" w:hAnsi="Palatino Linotype"/>
          <w:sz w:val="16"/>
          <w:szCs w:val="16"/>
        </w:rPr>
        <w:t>.</w:t>
      </w:r>
    </w:p>
  </w:footnote>
  <w:footnote w:id="4">
    <w:p w:rsidR="005E5D8F" w:rsidRDefault="005E5D8F" w:rsidP="00DC18EA">
      <w:pPr>
        <w:pStyle w:val="Textonotapie"/>
      </w:pPr>
      <w:r>
        <w:rPr>
          <w:rStyle w:val="Refdenotaalpie"/>
        </w:rPr>
        <w:footnoteRef/>
      </w:r>
      <w:r>
        <w:t xml:space="preserve"> </w:t>
      </w:r>
      <w:r>
        <w:rPr>
          <w:rFonts w:ascii="Palatino Linotype" w:hAnsi="Palatino Linotype"/>
          <w:sz w:val="16"/>
          <w:szCs w:val="16"/>
        </w:rPr>
        <w:t>Consultable en las ligas electrónicas</w:t>
      </w:r>
      <w:r w:rsidRPr="009B72A1">
        <w:rPr>
          <w:rFonts w:ascii="Palatino Linotype" w:hAnsi="Palatino Linotype"/>
          <w:sz w:val="16"/>
          <w:szCs w:val="16"/>
        </w:rPr>
        <w:t xml:space="preserve"> </w:t>
      </w:r>
      <w:hyperlink r:id="rId1" w:history="1">
        <w:r w:rsidRPr="009B72A1">
          <w:rPr>
            <w:rFonts w:ascii="Palatino Linotype" w:hAnsi="Palatino Linotype"/>
            <w:sz w:val="16"/>
            <w:szCs w:val="16"/>
          </w:rPr>
          <w:t>http://www.osfem.gob.mx/04_Normatividad/Normatividad.html</w:t>
        </w:r>
      </w:hyperlink>
      <w:r>
        <w:rPr>
          <w:rFonts w:ascii="Palatino Linotype" w:hAnsi="Palatino Linotype"/>
          <w:sz w:val="16"/>
          <w:szCs w:val="16"/>
        </w:rPr>
        <w:t xml:space="preserve">, </w:t>
      </w:r>
      <w:r w:rsidRPr="006A5E92">
        <w:rPr>
          <w:rFonts w:ascii="Palatino Linotype" w:hAnsi="Palatino Linotype"/>
          <w:sz w:val="16"/>
          <w:szCs w:val="16"/>
        </w:rPr>
        <w:t>https://www.osfem.gob.mx/04_Normatividad/doc/Normatividad/2013/04_LinIntInfMen13.pdf</w:t>
      </w:r>
      <w:r>
        <w:rPr>
          <w:rFonts w:ascii="Palatino Linotype" w:hAnsi="Palatino Linotype"/>
          <w:sz w:val="16"/>
          <w:szCs w:val="16"/>
        </w:rPr>
        <w:t xml:space="preserve">, </w:t>
      </w:r>
      <w:r w:rsidRPr="006A5E92">
        <w:rPr>
          <w:rFonts w:ascii="Palatino Linotype" w:hAnsi="Palatino Linotype"/>
          <w:sz w:val="16"/>
          <w:szCs w:val="16"/>
        </w:rPr>
        <w:t>https://www.osfem.gob.mx/04_Normatividad/doc/Normatividad/2016/01_LinIntInfoMen16.pdf</w:t>
      </w:r>
      <w:r>
        <w:rPr>
          <w:rFonts w:ascii="Palatino Linotype" w:hAnsi="Palatino Linotype"/>
          <w:sz w:val="16"/>
          <w:szCs w:val="16"/>
        </w:rPr>
        <w:t xml:space="preserve">, </w:t>
      </w:r>
      <w:r w:rsidRPr="006A5E92">
        <w:rPr>
          <w:rFonts w:ascii="Palatino Linotype" w:hAnsi="Palatino Linotype"/>
          <w:sz w:val="16"/>
          <w:szCs w:val="16"/>
        </w:rPr>
        <w:t>https://www.osfem.gob.mx/04_Normatividad/doc/Normatividad/2015/04_LinGralInt%20InfMensPodPubOrgAutOrgAuxEM15.pdf</w:t>
      </w:r>
      <w:r>
        <w:rPr>
          <w:rFonts w:ascii="Palatino Linotype" w:hAnsi="Palatino Linotype"/>
          <w:sz w:val="16"/>
          <w:szCs w:val="16"/>
        </w:rPr>
        <w:t xml:space="preserve"> y </w:t>
      </w:r>
      <w:r w:rsidRPr="009B72A1">
        <w:rPr>
          <w:rFonts w:ascii="Palatino Linotype" w:hAnsi="Palatino Linotype"/>
          <w:sz w:val="16"/>
          <w:szCs w:val="16"/>
        </w:rPr>
        <w:t>https://www.osfem.gob.mx/04_Normatividad/doc/Normatividad/2018/03_LinElabyPresInfoMenMpal18.pdf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8F" w:rsidRPr="001A2CEF" w:rsidRDefault="005E5D8F"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261"/>
      <w:gridCol w:w="2551"/>
      <w:gridCol w:w="3544"/>
    </w:tblGrid>
    <w:tr w:rsidR="005E5D8F" w:rsidRPr="008F2CCC" w:rsidTr="004E6868">
      <w:tc>
        <w:tcPr>
          <w:tcW w:w="3261" w:type="dxa"/>
        </w:tcPr>
        <w:p w:rsidR="005E5D8F" w:rsidRPr="008F2CCC" w:rsidRDefault="005E5D8F" w:rsidP="00AD3AEC">
          <w:pPr>
            <w:rPr>
              <w:rFonts w:ascii="Palatino Linotype" w:hAnsi="Palatino Linotype"/>
              <w:b/>
              <w:sz w:val="22"/>
              <w:szCs w:val="22"/>
              <w:lang w:val="es-ES_tradnl"/>
            </w:rPr>
          </w:pPr>
        </w:p>
      </w:tc>
      <w:tc>
        <w:tcPr>
          <w:tcW w:w="2551" w:type="dxa"/>
          <w:shd w:val="clear" w:color="auto" w:fill="auto"/>
        </w:tcPr>
        <w:p w:rsidR="005E5D8F" w:rsidRPr="00664658" w:rsidRDefault="005E5D8F"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5E5D8F" w:rsidRPr="008F2CCC" w:rsidRDefault="005E5D8F" w:rsidP="008918DE">
          <w:pPr>
            <w:jc w:val="both"/>
            <w:rPr>
              <w:rFonts w:ascii="Palatino Linotype" w:hAnsi="Palatino Linotype"/>
              <w:b/>
              <w:sz w:val="22"/>
              <w:szCs w:val="22"/>
              <w:lang w:val="es-ES_tradnl"/>
            </w:rPr>
          </w:pPr>
          <w:r>
            <w:rPr>
              <w:rFonts w:ascii="Palatino Linotype" w:hAnsi="Palatino Linotype"/>
              <w:b/>
              <w:sz w:val="22"/>
              <w:szCs w:val="22"/>
              <w:lang w:val="es-ES_tradnl"/>
            </w:rPr>
            <w:t>04782/INFOEM/IP/RR/2018</w:t>
          </w:r>
        </w:p>
      </w:tc>
    </w:tr>
    <w:tr w:rsidR="005E5D8F" w:rsidRPr="008F2CCC" w:rsidTr="004E6868">
      <w:tc>
        <w:tcPr>
          <w:tcW w:w="3261" w:type="dxa"/>
        </w:tcPr>
        <w:p w:rsidR="005E5D8F" w:rsidRPr="008F2CCC" w:rsidRDefault="005E5D8F" w:rsidP="00AD3AEC">
          <w:pPr>
            <w:rPr>
              <w:rFonts w:ascii="Palatino Linotype" w:hAnsi="Palatino Linotype"/>
              <w:b/>
              <w:sz w:val="22"/>
              <w:szCs w:val="22"/>
              <w:lang w:val="es-ES_tradnl"/>
            </w:rPr>
          </w:pPr>
        </w:p>
      </w:tc>
      <w:tc>
        <w:tcPr>
          <w:tcW w:w="2551" w:type="dxa"/>
          <w:shd w:val="clear" w:color="auto" w:fill="auto"/>
        </w:tcPr>
        <w:p w:rsidR="005E5D8F" w:rsidRPr="00664658" w:rsidRDefault="005E5D8F"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5E5D8F" w:rsidRPr="00DC41C8" w:rsidRDefault="005E5D8F" w:rsidP="00AD3AEC">
          <w:pPr>
            <w:jc w:val="both"/>
            <w:rPr>
              <w:rFonts w:ascii="Palatino Linotype" w:hAnsi="Palatino Linotype"/>
              <w:b/>
              <w:sz w:val="22"/>
              <w:szCs w:val="22"/>
            </w:rPr>
          </w:pPr>
          <w:r w:rsidRPr="004E6868">
            <w:rPr>
              <w:rFonts w:ascii="Palatino Linotype" w:hAnsi="Palatino Linotype"/>
              <w:b/>
              <w:sz w:val="22"/>
              <w:szCs w:val="22"/>
            </w:rPr>
            <w:t>Ayuntamiento de Donato Guerra</w:t>
          </w:r>
        </w:p>
      </w:tc>
    </w:tr>
    <w:tr w:rsidR="005E5D8F" w:rsidRPr="008F2CCC" w:rsidTr="004E6868">
      <w:trPr>
        <w:trHeight w:val="228"/>
      </w:trPr>
      <w:tc>
        <w:tcPr>
          <w:tcW w:w="3261" w:type="dxa"/>
        </w:tcPr>
        <w:p w:rsidR="005E5D8F" w:rsidRPr="008F2CCC" w:rsidRDefault="005E5D8F" w:rsidP="00AD3AEC">
          <w:pPr>
            <w:rPr>
              <w:rFonts w:ascii="Palatino Linotype" w:hAnsi="Palatino Linotype"/>
              <w:b/>
              <w:sz w:val="22"/>
              <w:szCs w:val="22"/>
              <w:lang w:val="es-ES_tradnl"/>
            </w:rPr>
          </w:pPr>
        </w:p>
      </w:tc>
      <w:tc>
        <w:tcPr>
          <w:tcW w:w="2551" w:type="dxa"/>
          <w:shd w:val="clear" w:color="auto" w:fill="auto"/>
        </w:tcPr>
        <w:p w:rsidR="005E5D8F" w:rsidRPr="00664658" w:rsidRDefault="005E5D8F"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5E5D8F" w:rsidRPr="00664658" w:rsidRDefault="005E5D8F"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E5D8F" w:rsidRPr="001A2CEF" w:rsidRDefault="005E5D8F"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8F" w:rsidRPr="001A2CEF" w:rsidRDefault="005E5D8F">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261"/>
      <w:gridCol w:w="2551"/>
      <w:gridCol w:w="3544"/>
    </w:tblGrid>
    <w:tr w:rsidR="005E5D8F" w:rsidRPr="008F2CCC" w:rsidTr="004E6868">
      <w:tc>
        <w:tcPr>
          <w:tcW w:w="3261" w:type="dxa"/>
          <w:vMerge w:val="restart"/>
        </w:tcPr>
        <w:p w:rsidR="005E5D8F" w:rsidRPr="008F2CCC" w:rsidRDefault="005E5D8F" w:rsidP="00A2780F">
          <w:pPr>
            <w:rPr>
              <w:rFonts w:ascii="Palatino Linotype" w:hAnsi="Palatino Linotype"/>
              <w:b/>
              <w:sz w:val="22"/>
              <w:szCs w:val="22"/>
              <w:lang w:val="es-ES_tradnl"/>
            </w:rPr>
          </w:pPr>
        </w:p>
      </w:tc>
      <w:tc>
        <w:tcPr>
          <w:tcW w:w="2551" w:type="dxa"/>
          <w:shd w:val="clear" w:color="auto" w:fill="auto"/>
        </w:tcPr>
        <w:p w:rsidR="005E5D8F" w:rsidRPr="008F2CCC" w:rsidRDefault="005E5D8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5E5D8F" w:rsidRPr="008F2CCC" w:rsidRDefault="005E5D8F" w:rsidP="00AD3AEC">
          <w:pPr>
            <w:jc w:val="both"/>
            <w:rPr>
              <w:rFonts w:ascii="Palatino Linotype" w:hAnsi="Palatino Linotype"/>
              <w:b/>
              <w:sz w:val="22"/>
              <w:szCs w:val="22"/>
              <w:lang w:val="es-ES_tradnl"/>
            </w:rPr>
          </w:pPr>
          <w:r>
            <w:rPr>
              <w:rFonts w:ascii="Palatino Linotype" w:hAnsi="Palatino Linotype"/>
              <w:b/>
              <w:sz w:val="22"/>
              <w:szCs w:val="22"/>
              <w:lang w:val="es-ES_tradnl"/>
            </w:rPr>
            <w:t>04782/INFOEM/IP/RR/2018</w:t>
          </w:r>
        </w:p>
      </w:tc>
    </w:tr>
    <w:tr w:rsidR="005E5D8F" w:rsidRPr="008F2CCC" w:rsidTr="004E6868">
      <w:tc>
        <w:tcPr>
          <w:tcW w:w="3261" w:type="dxa"/>
          <w:vMerge/>
        </w:tcPr>
        <w:p w:rsidR="005E5D8F" w:rsidRPr="008F2CCC" w:rsidRDefault="005E5D8F" w:rsidP="00A2780F">
          <w:pPr>
            <w:rPr>
              <w:rFonts w:ascii="Palatino Linotype" w:hAnsi="Palatino Linotype"/>
              <w:b/>
              <w:sz w:val="22"/>
              <w:szCs w:val="22"/>
              <w:lang w:val="es-ES_tradnl"/>
            </w:rPr>
          </w:pPr>
        </w:p>
      </w:tc>
      <w:tc>
        <w:tcPr>
          <w:tcW w:w="2551" w:type="dxa"/>
          <w:shd w:val="clear" w:color="auto" w:fill="auto"/>
        </w:tcPr>
        <w:p w:rsidR="005E5D8F" w:rsidRPr="008F2CCC" w:rsidRDefault="005E5D8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5E5D8F" w:rsidRPr="008F2CCC" w:rsidRDefault="00520D71" w:rsidP="00520D71">
          <w:pPr>
            <w:jc w:val="both"/>
            <w:rPr>
              <w:rFonts w:ascii="Palatino Linotype" w:hAnsi="Palatino Linotype"/>
              <w:b/>
              <w:sz w:val="22"/>
              <w:szCs w:val="22"/>
              <w:lang w:val="es-ES_tradnl"/>
            </w:rPr>
          </w:pPr>
          <w:r>
            <w:rPr>
              <w:rFonts w:ascii="Palatino Linotype" w:hAnsi="Palatino Linotype"/>
              <w:b/>
              <w:sz w:val="22"/>
              <w:szCs w:val="22"/>
            </w:rPr>
            <w:t>XXXXXX</w:t>
          </w:r>
          <w:r w:rsidR="005E5D8F" w:rsidRPr="00B92F0C">
            <w:rPr>
              <w:rFonts w:ascii="Palatino Linotype" w:hAnsi="Palatino Linotype"/>
              <w:b/>
              <w:sz w:val="22"/>
              <w:szCs w:val="22"/>
            </w:rPr>
            <w:t xml:space="preserve"> </w:t>
          </w:r>
          <w:r>
            <w:rPr>
              <w:rFonts w:ascii="Palatino Linotype" w:hAnsi="Palatino Linotype"/>
              <w:b/>
              <w:sz w:val="22"/>
              <w:szCs w:val="22"/>
            </w:rPr>
            <w:t>XXXXX</w:t>
          </w:r>
        </w:p>
      </w:tc>
    </w:tr>
    <w:tr w:rsidR="005E5D8F" w:rsidRPr="008F2CCC" w:rsidTr="004E6868">
      <w:trPr>
        <w:trHeight w:val="228"/>
      </w:trPr>
      <w:tc>
        <w:tcPr>
          <w:tcW w:w="3261" w:type="dxa"/>
          <w:vMerge/>
        </w:tcPr>
        <w:p w:rsidR="005E5D8F" w:rsidRPr="008F2CCC" w:rsidRDefault="005E5D8F" w:rsidP="00E37C88">
          <w:pPr>
            <w:rPr>
              <w:rFonts w:ascii="Palatino Linotype" w:hAnsi="Palatino Linotype"/>
              <w:b/>
              <w:sz w:val="22"/>
              <w:szCs w:val="22"/>
              <w:lang w:val="es-ES_tradnl"/>
            </w:rPr>
          </w:pPr>
        </w:p>
      </w:tc>
      <w:tc>
        <w:tcPr>
          <w:tcW w:w="2551" w:type="dxa"/>
          <w:shd w:val="clear" w:color="auto" w:fill="auto"/>
        </w:tcPr>
        <w:p w:rsidR="005E5D8F" w:rsidRPr="008F2CCC" w:rsidRDefault="005E5D8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5E5D8F" w:rsidRPr="00DC41C8" w:rsidRDefault="005E5D8F" w:rsidP="00741570">
          <w:pPr>
            <w:jc w:val="both"/>
            <w:rPr>
              <w:rFonts w:ascii="Palatino Linotype" w:hAnsi="Palatino Linotype"/>
              <w:b/>
              <w:sz w:val="22"/>
              <w:szCs w:val="22"/>
            </w:rPr>
          </w:pPr>
          <w:r w:rsidRPr="004E6868">
            <w:rPr>
              <w:rFonts w:ascii="Palatino Linotype" w:hAnsi="Palatino Linotype"/>
              <w:b/>
              <w:sz w:val="22"/>
              <w:szCs w:val="22"/>
            </w:rPr>
            <w:t>Ayuntamiento de Donato Guerra</w:t>
          </w:r>
        </w:p>
      </w:tc>
    </w:tr>
    <w:tr w:rsidR="005E5D8F" w:rsidRPr="008F2CCC" w:rsidTr="004E6868">
      <w:tc>
        <w:tcPr>
          <w:tcW w:w="3261" w:type="dxa"/>
          <w:vMerge/>
        </w:tcPr>
        <w:p w:rsidR="005E5D8F" w:rsidRPr="008F2CCC" w:rsidRDefault="005E5D8F" w:rsidP="00A2780F">
          <w:pPr>
            <w:rPr>
              <w:rFonts w:ascii="Palatino Linotype" w:hAnsi="Palatino Linotype"/>
              <w:b/>
              <w:sz w:val="22"/>
              <w:szCs w:val="22"/>
              <w:lang w:val="es-ES_tradnl"/>
            </w:rPr>
          </w:pPr>
        </w:p>
      </w:tc>
      <w:tc>
        <w:tcPr>
          <w:tcW w:w="2551" w:type="dxa"/>
          <w:shd w:val="clear" w:color="auto" w:fill="auto"/>
        </w:tcPr>
        <w:p w:rsidR="005E5D8F" w:rsidRPr="008F2CCC" w:rsidRDefault="005E5D8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5E5D8F" w:rsidRPr="008F2CCC" w:rsidRDefault="005E5D8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E5D8F" w:rsidRPr="001A2CEF" w:rsidRDefault="005E5D8F"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25121"/>
    <w:multiLevelType w:val="hybridMultilevel"/>
    <w:tmpl w:val="9CCCA3AA"/>
    <w:lvl w:ilvl="0" w:tplc="080A000F">
      <w:start w:val="1"/>
      <w:numFmt w:val="decimal"/>
      <w:lvlText w:val="%1."/>
      <w:lvlJc w:val="left"/>
      <w:pPr>
        <w:ind w:left="1287" w:hanging="360"/>
      </w:pPr>
      <w:rPr>
        <w:rFonts w:hint="default"/>
        <w:color w:val="auto"/>
      </w:rPr>
    </w:lvl>
    <w:lvl w:ilvl="1" w:tplc="080A0001">
      <w:start w:val="1"/>
      <w:numFmt w:val="bullet"/>
      <w:lvlText w:val=""/>
      <w:lvlJc w:val="left"/>
      <w:pPr>
        <w:ind w:left="2007" w:hanging="360"/>
      </w:pPr>
      <w:rPr>
        <w:rFonts w:ascii="Symbol" w:hAnsi="Symbo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FF85D96"/>
    <w:multiLevelType w:val="hybridMultilevel"/>
    <w:tmpl w:val="30FEEA9A"/>
    <w:lvl w:ilvl="0" w:tplc="AEFEC7CE">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46A493C"/>
    <w:multiLevelType w:val="hybridMultilevel"/>
    <w:tmpl w:val="3ADC6FD0"/>
    <w:lvl w:ilvl="0" w:tplc="080A0001">
      <w:start w:val="1"/>
      <w:numFmt w:val="bullet"/>
      <w:lvlText w:val=""/>
      <w:lvlJc w:val="left"/>
      <w:pPr>
        <w:ind w:left="360" w:hanging="360"/>
      </w:pPr>
      <w:rPr>
        <w:rFonts w:ascii="Symbol" w:hAnsi="Symbol" w:hint="default"/>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79E4B9B"/>
    <w:multiLevelType w:val="hybridMultilevel"/>
    <w:tmpl w:val="30FEEA9A"/>
    <w:lvl w:ilvl="0" w:tplc="AEFEC7CE">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DA13DE"/>
    <w:multiLevelType w:val="hybridMultilevel"/>
    <w:tmpl w:val="83CEEADE"/>
    <w:lvl w:ilvl="0" w:tplc="0C9AD8E4">
      <w:start w:val="1"/>
      <w:numFmt w:val="decimal"/>
      <w:lvlText w:val="%1."/>
      <w:lvlJc w:val="left"/>
      <w:pPr>
        <w:ind w:left="717" w:hanging="360"/>
      </w:pPr>
      <w:rPr>
        <w:b/>
      </w:rPr>
    </w:lvl>
    <w:lvl w:ilvl="1" w:tplc="080A0019">
      <w:start w:val="1"/>
      <w:numFmt w:val="lowerLetter"/>
      <w:lvlText w:val="%2."/>
      <w:lvlJc w:val="left"/>
      <w:pPr>
        <w:ind w:left="1437" w:hanging="360"/>
      </w:pPr>
    </w:lvl>
    <w:lvl w:ilvl="2" w:tplc="080A001B">
      <w:start w:val="1"/>
      <w:numFmt w:val="lowerRoman"/>
      <w:lvlText w:val="%3."/>
      <w:lvlJc w:val="right"/>
      <w:pPr>
        <w:ind w:left="2157" w:hanging="180"/>
      </w:pPr>
    </w:lvl>
    <w:lvl w:ilvl="3" w:tplc="080A000F">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15:restartNumberingAfterBreak="0">
    <w:nsid w:val="256F5E45"/>
    <w:multiLevelType w:val="hybridMultilevel"/>
    <w:tmpl w:val="A0488E86"/>
    <w:lvl w:ilvl="0" w:tplc="69E27CA2">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A5E02AC"/>
    <w:multiLevelType w:val="hybridMultilevel"/>
    <w:tmpl w:val="757CA5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CC120D4"/>
    <w:multiLevelType w:val="hybridMultilevel"/>
    <w:tmpl w:val="42681556"/>
    <w:lvl w:ilvl="0" w:tplc="F2F4FAEC">
      <w:start w:val="1"/>
      <w:numFmt w:val="lowerLetter"/>
      <w:lvlText w:val="%1)"/>
      <w:lvlJc w:val="left"/>
      <w:pPr>
        <w:ind w:left="1077" w:hanging="360"/>
      </w:pPr>
      <w:rPr>
        <w:b/>
      </w:rPr>
    </w:lvl>
    <w:lvl w:ilvl="1" w:tplc="080A0017">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2" w15:restartNumberingAfterBreak="0">
    <w:nsid w:val="2E8F57CC"/>
    <w:multiLevelType w:val="hybridMultilevel"/>
    <w:tmpl w:val="D078078A"/>
    <w:lvl w:ilvl="0" w:tplc="7C2C3DB6">
      <w:start w:val="1"/>
      <w:numFmt w:val="decimal"/>
      <w:lvlText w:val="%1."/>
      <w:lvlJc w:val="left"/>
      <w:pPr>
        <w:ind w:left="717" w:hanging="360"/>
      </w:pPr>
      <w:rPr>
        <w:b/>
      </w:rPr>
    </w:lvl>
    <w:lvl w:ilvl="1" w:tplc="080A0019">
      <w:start w:val="1"/>
      <w:numFmt w:val="lowerLetter"/>
      <w:lvlText w:val="%2."/>
      <w:lvlJc w:val="left"/>
      <w:pPr>
        <w:ind w:left="1437" w:hanging="360"/>
      </w:pPr>
    </w:lvl>
    <w:lvl w:ilvl="2" w:tplc="080A001B">
      <w:start w:val="1"/>
      <w:numFmt w:val="lowerRoman"/>
      <w:lvlText w:val="%3."/>
      <w:lvlJc w:val="right"/>
      <w:pPr>
        <w:ind w:left="2157" w:hanging="180"/>
      </w:pPr>
    </w:lvl>
    <w:lvl w:ilvl="3" w:tplc="080A000F">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5F3696F"/>
    <w:multiLevelType w:val="hybridMultilevel"/>
    <w:tmpl w:val="B316ECCE"/>
    <w:lvl w:ilvl="0" w:tplc="1BFE5274">
      <w:start w:val="1"/>
      <w:numFmt w:val="lowerLetter"/>
      <w:lvlText w:val="%1)"/>
      <w:lvlJc w:val="left"/>
      <w:pPr>
        <w:ind w:left="1077" w:hanging="360"/>
      </w:pPr>
      <w:rPr>
        <w:b/>
      </w:rPr>
    </w:lvl>
    <w:lvl w:ilvl="1" w:tplc="080A0017">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6" w15:restartNumberingAfterBreak="0">
    <w:nsid w:val="37D35FF0"/>
    <w:multiLevelType w:val="hybridMultilevel"/>
    <w:tmpl w:val="948E9AB4"/>
    <w:lvl w:ilvl="0" w:tplc="1A3A8678">
      <w:start w:val="2"/>
      <w:numFmt w:val="lowerLetter"/>
      <w:lvlText w:val="%1)"/>
      <w:lvlJc w:val="left"/>
      <w:pPr>
        <w:ind w:left="1069" w:hanging="360"/>
      </w:pPr>
      <w:rPr>
        <w:rFonts w:hint="default"/>
      </w:rPr>
    </w:lvl>
    <w:lvl w:ilvl="1" w:tplc="080A000F">
      <w:start w:val="1"/>
      <w:numFmt w:val="decimal"/>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3B6F4A9F"/>
    <w:multiLevelType w:val="hybridMultilevel"/>
    <w:tmpl w:val="16F875AA"/>
    <w:lvl w:ilvl="0" w:tplc="69B25036">
      <w:start w:val="1"/>
      <w:numFmt w:val="decimal"/>
      <w:lvlText w:val="%1."/>
      <w:lvlJc w:val="left"/>
      <w:pPr>
        <w:ind w:left="720" w:hanging="360"/>
      </w:pPr>
      <w:rPr>
        <w:rFonts w:ascii="Palatino Linotype" w:eastAsia="Times New Roman"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555001"/>
    <w:multiLevelType w:val="hybridMultilevel"/>
    <w:tmpl w:val="83CEEADE"/>
    <w:lvl w:ilvl="0" w:tplc="0C9AD8E4">
      <w:start w:val="1"/>
      <w:numFmt w:val="decimal"/>
      <w:lvlText w:val="%1."/>
      <w:lvlJc w:val="left"/>
      <w:pPr>
        <w:ind w:left="717" w:hanging="360"/>
      </w:pPr>
      <w:rPr>
        <w:b/>
      </w:rPr>
    </w:lvl>
    <w:lvl w:ilvl="1" w:tplc="080A0019">
      <w:start w:val="1"/>
      <w:numFmt w:val="lowerLetter"/>
      <w:lvlText w:val="%2."/>
      <w:lvlJc w:val="left"/>
      <w:pPr>
        <w:ind w:left="1437" w:hanging="360"/>
      </w:pPr>
    </w:lvl>
    <w:lvl w:ilvl="2" w:tplc="080A001B">
      <w:start w:val="1"/>
      <w:numFmt w:val="lowerRoman"/>
      <w:lvlText w:val="%3."/>
      <w:lvlJc w:val="right"/>
      <w:pPr>
        <w:ind w:left="2157" w:hanging="180"/>
      </w:pPr>
    </w:lvl>
    <w:lvl w:ilvl="3" w:tplc="080A000F">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15:restartNumberingAfterBreak="0">
    <w:nsid w:val="488316C4"/>
    <w:multiLevelType w:val="hybridMultilevel"/>
    <w:tmpl w:val="D50A9E80"/>
    <w:lvl w:ilvl="0" w:tplc="16A88224">
      <w:start w:val="1"/>
      <w:numFmt w:val="decimal"/>
      <w:lvlText w:val="%1."/>
      <w:lvlJc w:val="left"/>
      <w:pPr>
        <w:ind w:left="717" w:hanging="360"/>
      </w:pPr>
      <w:rPr>
        <w:b/>
      </w:rPr>
    </w:lvl>
    <w:lvl w:ilvl="1" w:tplc="080A0019">
      <w:start w:val="1"/>
      <w:numFmt w:val="lowerLetter"/>
      <w:lvlText w:val="%2."/>
      <w:lvlJc w:val="left"/>
      <w:pPr>
        <w:ind w:left="1437" w:hanging="360"/>
      </w:pPr>
    </w:lvl>
    <w:lvl w:ilvl="2" w:tplc="080A001B">
      <w:start w:val="1"/>
      <w:numFmt w:val="lowerRoman"/>
      <w:lvlText w:val="%3."/>
      <w:lvlJc w:val="right"/>
      <w:pPr>
        <w:ind w:left="2157" w:hanging="180"/>
      </w:pPr>
    </w:lvl>
    <w:lvl w:ilvl="3" w:tplc="080A000F">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0"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9950AF5"/>
    <w:multiLevelType w:val="hybridMultilevel"/>
    <w:tmpl w:val="9CCCA3AA"/>
    <w:lvl w:ilvl="0" w:tplc="080A000F">
      <w:start w:val="1"/>
      <w:numFmt w:val="decimal"/>
      <w:lvlText w:val="%1."/>
      <w:lvlJc w:val="left"/>
      <w:pPr>
        <w:ind w:left="1287" w:hanging="360"/>
      </w:pPr>
      <w:rPr>
        <w:rFonts w:hint="default"/>
        <w:color w:val="auto"/>
      </w:rPr>
    </w:lvl>
    <w:lvl w:ilvl="1" w:tplc="080A0001">
      <w:start w:val="1"/>
      <w:numFmt w:val="bullet"/>
      <w:lvlText w:val=""/>
      <w:lvlJc w:val="left"/>
      <w:pPr>
        <w:ind w:left="2007" w:hanging="360"/>
      </w:pPr>
      <w:rPr>
        <w:rFonts w:ascii="Symbol" w:hAnsi="Symbo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4BDC70DA"/>
    <w:multiLevelType w:val="hybridMultilevel"/>
    <w:tmpl w:val="E55E0452"/>
    <w:lvl w:ilvl="0" w:tplc="B78273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1BD7FFE"/>
    <w:multiLevelType w:val="hybridMultilevel"/>
    <w:tmpl w:val="4EAE0090"/>
    <w:lvl w:ilvl="0" w:tplc="D40C895E">
      <w:start w:val="1"/>
      <w:numFmt w:val="lowerLetter"/>
      <w:lvlText w:val="%1)"/>
      <w:lvlJc w:val="left"/>
      <w:pPr>
        <w:ind w:left="1077" w:hanging="360"/>
      </w:pPr>
      <w:rPr>
        <w:b/>
      </w:rPr>
    </w:lvl>
    <w:lvl w:ilvl="1" w:tplc="080A0017">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4" w15:restartNumberingAfterBreak="0">
    <w:nsid w:val="533D09B7"/>
    <w:multiLevelType w:val="hybridMultilevel"/>
    <w:tmpl w:val="AD2C2182"/>
    <w:lvl w:ilvl="0" w:tplc="F82EC11A">
      <w:start w:val="1"/>
      <w:numFmt w:val="lowerLetter"/>
      <w:lvlText w:val="%1)"/>
      <w:lvlJc w:val="left"/>
      <w:pPr>
        <w:ind w:left="1077" w:hanging="360"/>
      </w:pPr>
      <w:rPr>
        <w:b/>
      </w:rPr>
    </w:lvl>
    <w:lvl w:ilvl="1" w:tplc="080A0017">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5" w15:restartNumberingAfterBreak="0">
    <w:nsid w:val="56971A15"/>
    <w:multiLevelType w:val="hybridMultilevel"/>
    <w:tmpl w:val="83CEEADE"/>
    <w:lvl w:ilvl="0" w:tplc="0C9AD8E4">
      <w:start w:val="1"/>
      <w:numFmt w:val="decimal"/>
      <w:lvlText w:val="%1."/>
      <w:lvlJc w:val="left"/>
      <w:pPr>
        <w:ind w:left="717" w:hanging="360"/>
      </w:pPr>
      <w:rPr>
        <w:b/>
      </w:rPr>
    </w:lvl>
    <w:lvl w:ilvl="1" w:tplc="080A0019">
      <w:start w:val="1"/>
      <w:numFmt w:val="lowerLetter"/>
      <w:lvlText w:val="%2."/>
      <w:lvlJc w:val="left"/>
      <w:pPr>
        <w:ind w:left="1437" w:hanging="360"/>
      </w:pPr>
    </w:lvl>
    <w:lvl w:ilvl="2" w:tplc="080A001B">
      <w:start w:val="1"/>
      <w:numFmt w:val="lowerRoman"/>
      <w:lvlText w:val="%3."/>
      <w:lvlJc w:val="right"/>
      <w:pPr>
        <w:ind w:left="2157" w:hanging="180"/>
      </w:pPr>
    </w:lvl>
    <w:lvl w:ilvl="3" w:tplc="080A000F">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6" w15:restartNumberingAfterBreak="0">
    <w:nsid w:val="630E65DB"/>
    <w:multiLevelType w:val="hybridMultilevel"/>
    <w:tmpl w:val="AC82A28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84D0E47"/>
    <w:multiLevelType w:val="hybridMultilevel"/>
    <w:tmpl w:val="046878AA"/>
    <w:lvl w:ilvl="0" w:tplc="920202A6">
      <w:start w:val="1"/>
      <w:numFmt w:val="decimal"/>
      <w:lvlText w:val="%1."/>
      <w:lvlJc w:val="left"/>
      <w:pPr>
        <w:ind w:left="1429" w:hanging="360"/>
      </w:pPr>
      <w:rPr>
        <w:color w:val="auto"/>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D5C21E1"/>
    <w:multiLevelType w:val="hybridMultilevel"/>
    <w:tmpl w:val="F12A6E5C"/>
    <w:lvl w:ilvl="0" w:tplc="080A0017">
      <w:start w:val="1"/>
      <w:numFmt w:val="lowerLetter"/>
      <w:lvlText w:val="%1)"/>
      <w:lvlJc w:val="left"/>
      <w:pPr>
        <w:ind w:left="1437" w:hanging="360"/>
      </w:pPr>
    </w:lvl>
    <w:lvl w:ilvl="1" w:tplc="080A0019">
      <w:start w:val="1"/>
      <w:numFmt w:val="lowerLetter"/>
      <w:lvlText w:val="%2."/>
      <w:lvlJc w:val="left"/>
      <w:pPr>
        <w:ind w:left="2157" w:hanging="360"/>
      </w:pPr>
    </w:lvl>
    <w:lvl w:ilvl="2" w:tplc="080A001B" w:tentative="1">
      <w:start w:val="1"/>
      <w:numFmt w:val="lowerRoman"/>
      <w:lvlText w:val="%3."/>
      <w:lvlJc w:val="right"/>
      <w:pPr>
        <w:ind w:left="2877" w:hanging="180"/>
      </w:pPr>
    </w:lvl>
    <w:lvl w:ilvl="3" w:tplc="080A000F" w:tentative="1">
      <w:start w:val="1"/>
      <w:numFmt w:val="decimal"/>
      <w:lvlText w:val="%4."/>
      <w:lvlJc w:val="left"/>
      <w:pPr>
        <w:ind w:left="3597" w:hanging="360"/>
      </w:pPr>
    </w:lvl>
    <w:lvl w:ilvl="4" w:tplc="080A0019" w:tentative="1">
      <w:start w:val="1"/>
      <w:numFmt w:val="lowerLetter"/>
      <w:lvlText w:val="%5."/>
      <w:lvlJc w:val="left"/>
      <w:pPr>
        <w:ind w:left="4317" w:hanging="360"/>
      </w:pPr>
    </w:lvl>
    <w:lvl w:ilvl="5" w:tplc="080A001B" w:tentative="1">
      <w:start w:val="1"/>
      <w:numFmt w:val="lowerRoman"/>
      <w:lvlText w:val="%6."/>
      <w:lvlJc w:val="right"/>
      <w:pPr>
        <w:ind w:left="5037" w:hanging="180"/>
      </w:pPr>
    </w:lvl>
    <w:lvl w:ilvl="6" w:tplc="080A000F" w:tentative="1">
      <w:start w:val="1"/>
      <w:numFmt w:val="decimal"/>
      <w:lvlText w:val="%7."/>
      <w:lvlJc w:val="left"/>
      <w:pPr>
        <w:ind w:left="5757" w:hanging="360"/>
      </w:pPr>
    </w:lvl>
    <w:lvl w:ilvl="7" w:tplc="080A0019" w:tentative="1">
      <w:start w:val="1"/>
      <w:numFmt w:val="lowerLetter"/>
      <w:lvlText w:val="%8."/>
      <w:lvlJc w:val="left"/>
      <w:pPr>
        <w:ind w:left="6477" w:hanging="360"/>
      </w:pPr>
    </w:lvl>
    <w:lvl w:ilvl="8" w:tplc="080A001B" w:tentative="1">
      <w:start w:val="1"/>
      <w:numFmt w:val="lowerRoman"/>
      <w:lvlText w:val="%9."/>
      <w:lvlJc w:val="right"/>
      <w:pPr>
        <w:ind w:left="7197" w:hanging="180"/>
      </w:pPr>
    </w:lvl>
  </w:abstractNum>
  <w:abstractNum w:abstractNumId="31" w15:restartNumberingAfterBreak="0">
    <w:nsid w:val="704964AD"/>
    <w:multiLevelType w:val="hybridMultilevel"/>
    <w:tmpl w:val="27901244"/>
    <w:lvl w:ilvl="0" w:tplc="23246F50">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167EE6"/>
    <w:multiLevelType w:val="hybridMultilevel"/>
    <w:tmpl w:val="DE7A79AE"/>
    <w:lvl w:ilvl="0" w:tplc="080A000F">
      <w:start w:val="1"/>
      <w:numFmt w:val="decimal"/>
      <w:lvlText w:val="%1."/>
      <w:lvlJc w:val="left"/>
      <w:pPr>
        <w:ind w:left="717" w:hanging="360"/>
      </w:pPr>
    </w:lvl>
    <w:lvl w:ilvl="1" w:tplc="080A0019">
      <w:start w:val="1"/>
      <w:numFmt w:val="lowerLetter"/>
      <w:lvlText w:val="%2."/>
      <w:lvlJc w:val="left"/>
      <w:pPr>
        <w:ind w:left="1437" w:hanging="360"/>
      </w:pPr>
    </w:lvl>
    <w:lvl w:ilvl="2" w:tplc="080A001B">
      <w:start w:val="1"/>
      <w:numFmt w:val="lowerRoman"/>
      <w:lvlText w:val="%3."/>
      <w:lvlJc w:val="right"/>
      <w:pPr>
        <w:ind w:left="2157" w:hanging="180"/>
      </w:pPr>
    </w:lvl>
    <w:lvl w:ilvl="3" w:tplc="080A000F">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4" w15:restartNumberingAfterBreak="0">
    <w:nsid w:val="7300101F"/>
    <w:multiLevelType w:val="hybridMultilevel"/>
    <w:tmpl w:val="359E7AF0"/>
    <w:lvl w:ilvl="0" w:tplc="080A0017">
      <w:start w:val="1"/>
      <w:numFmt w:val="lowerLetter"/>
      <w:lvlText w:val="%1)"/>
      <w:lvlJc w:val="left"/>
      <w:pPr>
        <w:ind w:left="1077" w:hanging="360"/>
      </w:pPr>
    </w:lvl>
    <w:lvl w:ilvl="1" w:tplc="080A0019">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5"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E71293"/>
    <w:multiLevelType w:val="hybridMultilevel"/>
    <w:tmpl w:val="53D68FC8"/>
    <w:lvl w:ilvl="0" w:tplc="1A3A8678">
      <w:start w:val="2"/>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252321"/>
    <w:multiLevelType w:val="hybridMultilevel"/>
    <w:tmpl w:val="22661370"/>
    <w:lvl w:ilvl="0" w:tplc="080A000F">
      <w:start w:val="1"/>
      <w:numFmt w:val="decimal"/>
      <w:lvlText w:val="%1."/>
      <w:lvlJc w:val="left"/>
      <w:pPr>
        <w:ind w:left="1287" w:hanging="360"/>
      </w:pPr>
      <w:rPr>
        <w:rFonts w:hint="default"/>
        <w:color w:val="auto"/>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A18AB"/>
    <w:multiLevelType w:val="hybridMultilevel"/>
    <w:tmpl w:val="9CCCA3AA"/>
    <w:lvl w:ilvl="0" w:tplc="080A000F">
      <w:start w:val="1"/>
      <w:numFmt w:val="decimal"/>
      <w:lvlText w:val="%1."/>
      <w:lvlJc w:val="left"/>
      <w:pPr>
        <w:ind w:left="1287" w:hanging="360"/>
      </w:pPr>
      <w:rPr>
        <w:rFonts w:hint="default"/>
        <w:color w:val="auto"/>
      </w:rPr>
    </w:lvl>
    <w:lvl w:ilvl="1" w:tplc="080A0001">
      <w:start w:val="1"/>
      <w:numFmt w:val="bullet"/>
      <w:lvlText w:val=""/>
      <w:lvlJc w:val="left"/>
      <w:pPr>
        <w:ind w:left="2007" w:hanging="360"/>
      </w:pPr>
      <w:rPr>
        <w:rFonts w:ascii="Symbol" w:hAnsi="Symbo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8"/>
  </w:num>
  <w:num w:numId="2">
    <w:abstractNumId w:val="32"/>
  </w:num>
  <w:num w:numId="3">
    <w:abstractNumId w:val="13"/>
  </w:num>
  <w:num w:numId="4">
    <w:abstractNumId w:val="7"/>
  </w:num>
  <w:num w:numId="5">
    <w:abstractNumId w:val="14"/>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7"/>
  </w:num>
  <w:num w:numId="9">
    <w:abstractNumId w:val="4"/>
  </w:num>
  <w:num w:numId="10">
    <w:abstractNumId w:val="27"/>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9"/>
  </w:num>
  <w:num w:numId="14">
    <w:abstractNumId w:val="6"/>
  </w:num>
  <w:num w:numId="15">
    <w:abstractNumId w:val="21"/>
  </w:num>
  <w:num w:numId="16">
    <w:abstractNumId w:val="39"/>
  </w:num>
  <w:num w:numId="17">
    <w:abstractNumId w:val="12"/>
  </w:num>
  <w:num w:numId="18">
    <w:abstractNumId w:val="19"/>
  </w:num>
  <w:num w:numId="19">
    <w:abstractNumId w:val="8"/>
  </w:num>
  <w:num w:numId="20">
    <w:abstractNumId w:val="33"/>
  </w:num>
  <w:num w:numId="21">
    <w:abstractNumId w:val="30"/>
  </w:num>
  <w:num w:numId="22">
    <w:abstractNumId w:val="23"/>
  </w:num>
  <w:num w:numId="23">
    <w:abstractNumId w:val="11"/>
  </w:num>
  <w:num w:numId="24">
    <w:abstractNumId w:val="18"/>
  </w:num>
  <w:num w:numId="25">
    <w:abstractNumId w:val="15"/>
  </w:num>
  <w:num w:numId="26">
    <w:abstractNumId w:val="34"/>
  </w:num>
  <w:num w:numId="27">
    <w:abstractNumId w:val="24"/>
  </w:num>
  <w:num w:numId="28">
    <w:abstractNumId w:val="25"/>
  </w:num>
  <w:num w:numId="29">
    <w:abstractNumId w:val="31"/>
  </w:num>
  <w:num w:numId="30">
    <w:abstractNumId w:val="1"/>
  </w:num>
  <w:num w:numId="31">
    <w:abstractNumId w:val="5"/>
  </w:num>
  <w:num w:numId="32">
    <w:abstractNumId w:val="10"/>
  </w:num>
  <w:num w:numId="33">
    <w:abstractNumId w:val="22"/>
  </w:num>
  <w:num w:numId="34">
    <w:abstractNumId w:val="2"/>
  </w:num>
  <w:num w:numId="35">
    <w:abstractNumId w:val="41"/>
  </w:num>
  <w:num w:numId="36">
    <w:abstractNumId w:val="0"/>
  </w:num>
  <w:num w:numId="37">
    <w:abstractNumId w:val="36"/>
  </w:num>
  <w:num w:numId="38">
    <w:abstractNumId w:val="20"/>
  </w:num>
  <w:num w:numId="39">
    <w:abstractNumId w:val="16"/>
  </w:num>
  <w:num w:numId="40">
    <w:abstractNumId w:val="26"/>
  </w:num>
  <w:num w:numId="41">
    <w:abstractNumId w:val="3"/>
  </w:num>
  <w:num w:numId="42">
    <w:abstractNumId w:val="35"/>
  </w:num>
  <w:num w:numId="43">
    <w:abstractNumId w:val="28"/>
  </w:num>
  <w:num w:numId="4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2F6D"/>
    <w:rsid w:val="0000328A"/>
    <w:rsid w:val="000041B5"/>
    <w:rsid w:val="00004DB5"/>
    <w:rsid w:val="000054EA"/>
    <w:rsid w:val="0000588F"/>
    <w:rsid w:val="000060C2"/>
    <w:rsid w:val="0000633D"/>
    <w:rsid w:val="00006EC0"/>
    <w:rsid w:val="00006F2F"/>
    <w:rsid w:val="000075A8"/>
    <w:rsid w:val="00007AF1"/>
    <w:rsid w:val="00007FD8"/>
    <w:rsid w:val="000104F0"/>
    <w:rsid w:val="000123CB"/>
    <w:rsid w:val="00012A00"/>
    <w:rsid w:val="00013023"/>
    <w:rsid w:val="00013707"/>
    <w:rsid w:val="000142C0"/>
    <w:rsid w:val="00014E91"/>
    <w:rsid w:val="00015DDC"/>
    <w:rsid w:val="000160C6"/>
    <w:rsid w:val="00016A2B"/>
    <w:rsid w:val="0001796B"/>
    <w:rsid w:val="00017E4C"/>
    <w:rsid w:val="00017EBE"/>
    <w:rsid w:val="00020072"/>
    <w:rsid w:val="00020BD7"/>
    <w:rsid w:val="00020C9F"/>
    <w:rsid w:val="00022DCF"/>
    <w:rsid w:val="00022E8B"/>
    <w:rsid w:val="00023233"/>
    <w:rsid w:val="0002392E"/>
    <w:rsid w:val="000244C6"/>
    <w:rsid w:val="0002471C"/>
    <w:rsid w:val="00024A5F"/>
    <w:rsid w:val="00024E68"/>
    <w:rsid w:val="000254C2"/>
    <w:rsid w:val="00025BB5"/>
    <w:rsid w:val="00025DB0"/>
    <w:rsid w:val="0002685C"/>
    <w:rsid w:val="0002690E"/>
    <w:rsid w:val="00026A3C"/>
    <w:rsid w:val="0003033D"/>
    <w:rsid w:val="00030B10"/>
    <w:rsid w:val="0003134F"/>
    <w:rsid w:val="0003153C"/>
    <w:rsid w:val="000317FD"/>
    <w:rsid w:val="00031B70"/>
    <w:rsid w:val="00031C72"/>
    <w:rsid w:val="00032403"/>
    <w:rsid w:val="0003297A"/>
    <w:rsid w:val="0003347C"/>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6CFC"/>
    <w:rsid w:val="00047111"/>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5BF"/>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AB9"/>
    <w:rsid w:val="00096D57"/>
    <w:rsid w:val="000970F0"/>
    <w:rsid w:val="0009778A"/>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744"/>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D"/>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54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A20"/>
    <w:rsid w:val="00106B41"/>
    <w:rsid w:val="00106FBF"/>
    <w:rsid w:val="001074EF"/>
    <w:rsid w:val="00111DBB"/>
    <w:rsid w:val="00111F07"/>
    <w:rsid w:val="00112840"/>
    <w:rsid w:val="00112988"/>
    <w:rsid w:val="00113015"/>
    <w:rsid w:val="00113629"/>
    <w:rsid w:val="001136D3"/>
    <w:rsid w:val="001149CC"/>
    <w:rsid w:val="00114A3C"/>
    <w:rsid w:val="00114CC0"/>
    <w:rsid w:val="0011502F"/>
    <w:rsid w:val="0011507B"/>
    <w:rsid w:val="00115DB1"/>
    <w:rsid w:val="00115E6B"/>
    <w:rsid w:val="00116272"/>
    <w:rsid w:val="00116376"/>
    <w:rsid w:val="001166AB"/>
    <w:rsid w:val="00116D62"/>
    <w:rsid w:val="001207E8"/>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027"/>
    <w:rsid w:val="00130303"/>
    <w:rsid w:val="00130665"/>
    <w:rsid w:val="00131065"/>
    <w:rsid w:val="00131466"/>
    <w:rsid w:val="00131979"/>
    <w:rsid w:val="00131ABC"/>
    <w:rsid w:val="00132178"/>
    <w:rsid w:val="001322D3"/>
    <w:rsid w:val="001323DC"/>
    <w:rsid w:val="00132738"/>
    <w:rsid w:val="00133090"/>
    <w:rsid w:val="00133607"/>
    <w:rsid w:val="00133D6C"/>
    <w:rsid w:val="00135033"/>
    <w:rsid w:val="0013622C"/>
    <w:rsid w:val="00136A1E"/>
    <w:rsid w:val="00136D61"/>
    <w:rsid w:val="001371A5"/>
    <w:rsid w:val="001378F0"/>
    <w:rsid w:val="00137AEE"/>
    <w:rsid w:val="00137D02"/>
    <w:rsid w:val="00140252"/>
    <w:rsid w:val="001406EB"/>
    <w:rsid w:val="00140BE0"/>
    <w:rsid w:val="00140FA7"/>
    <w:rsid w:val="00141EE7"/>
    <w:rsid w:val="001425F5"/>
    <w:rsid w:val="001433DD"/>
    <w:rsid w:val="00144712"/>
    <w:rsid w:val="00144BB9"/>
    <w:rsid w:val="0014538F"/>
    <w:rsid w:val="00145F32"/>
    <w:rsid w:val="00146317"/>
    <w:rsid w:val="00146D8A"/>
    <w:rsid w:val="0014732A"/>
    <w:rsid w:val="00147723"/>
    <w:rsid w:val="00147FCE"/>
    <w:rsid w:val="00150455"/>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64F"/>
    <w:rsid w:val="00185B0F"/>
    <w:rsid w:val="00185C45"/>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25C"/>
    <w:rsid w:val="001B12D9"/>
    <w:rsid w:val="001B15F4"/>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5C"/>
    <w:rsid w:val="001C38D1"/>
    <w:rsid w:val="001C3FB7"/>
    <w:rsid w:val="001C45B4"/>
    <w:rsid w:val="001C4E80"/>
    <w:rsid w:val="001C55E0"/>
    <w:rsid w:val="001C6036"/>
    <w:rsid w:val="001C60DC"/>
    <w:rsid w:val="001C7515"/>
    <w:rsid w:val="001D0333"/>
    <w:rsid w:val="001D03A9"/>
    <w:rsid w:val="001D0412"/>
    <w:rsid w:val="001D0D4A"/>
    <w:rsid w:val="001D1147"/>
    <w:rsid w:val="001D1592"/>
    <w:rsid w:val="001D176A"/>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38D0"/>
    <w:rsid w:val="00204DE3"/>
    <w:rsid w:val="00204FDF"/>
    <w:rsid w:val="0020533C"/>
    <w:rsid w:val="00205684"/>
    <w:rsid w:val="002064B3"/>
    <w:rsid w:val="00206EF4"/>
    <w:rsid w:val="00207FF8"/>
    <w:rsid w:val="00210956"/>
    <w:rsid w:val="00212140"/>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E8B"/>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B5F"/>
    <w:rsid w:val="00282679"/>
    <w:rsid w:val="002843D9"/>
    <w:rsid w:val="002864B2"/>
    <w:rsid w:val="00286B88"/>
    <w:rsid w:val="0028794A"/>
    <w:rsid w:val="00287A4B"/>
    <w:rsid w:val="00290904"/>
    <w:rsid w:val="00290C11"/>
    <w:rsid w:val="002910B6"/>
    <w:rsid w:val="00291CD6"/>
    <w:rsid w:val="00292046"/>
    <w:rsid w:val="00292081"/>
    <w:rsid w:val="00292588"/>
    <w:rsid w:val="002930AD"/>
    <w:rsid w:val="002930C5"/>
    <w:rsid w:val="002930F8"/>
    <w:rsid w:val="0029375A"/>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4EE4"/>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40173"/>
    <w:rsid w:val="003402BA"/>
    <w:rsid w:val="00340E17"/>
    <w:rsid w:val="00340F86"/>
    <w:rsid w:val="003416A0"/>
    <w:rsid w:val="0034196C"/>
    <w:rsid w:val="00341A2B"/>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4F"/>
    <w:rsid w:val="003622CB"/>
    <w:rsid w:val="003628F4"/>
    <w:rsid w:val="0036306A"/>
    <w:rsid w:val="00364582"/>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137D"/>
    <w:rsid w:val="003C20B9"/>
    <w:rsid w:val="003C22CD"/>
    <w:rsid w:val="003C2568"/>
    <w:rsid w:val="003C3640"/>
    <w:rsid w:val="003C3ACE"/>
    <w:rsid w:val="003C3D09"/>
    <w:rsid w:val="003C492A"/>
    <w:rsid w:val="003C549A"/>
    <w:rsid w:val="003C5BE8"/>
    <w:rsid w:val="003C5FA2"/>
    <w:rsid w:val="003C653B"/>
    <w:rsid w:val="003C65F0"/>
    <w:rsid w:val="003C687A"/>
    <w:rsid w:val="003C6A5E"/>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4B0"/>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B4E"/>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7FEC"/>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375A5"/>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411"/>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CAC"/>
    <w:rsid w:val="004B22FF"/>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1B0A"/>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868"/>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0D71"/>
    <w:rsid w:val="005215F0"/>
    <w:rsid w:val="0052232E"/>
    <w:rsid w:val="00522A1D"/>
    <w:rsid w:val="00523636"/>
    <w:rsid w:val="0052391C"/>
    <w:rsid w:val="005251DD"/>
    <w:rsid w:val="00525242"/>
    <w:rsid w:val="0052578D"/>
    <w:rsid w:val="00525D52"/>
    <w:rsid w:val="00525ED0"/>
    <w:rsid w:val="005271AC"/>
    <w:rsid w:val="0052736F"/>
    <w:rsid w:val="00527C55"/>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A77"/>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663D"/>
    <w:rsid w:val="00596BF0"/>
    <w:rsid w:val="005A0144"/>
    <w:rsid w:val="005A055C"/>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4E55"/>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D28"/>
    <w:rsid w:val="005E2992"/>
    <w:rsid w:val="005E336C"/>
    <w:rsid w:val="005E3AB6"/>
    <w:rsid w:val="005E4AF2"/>
    <w:rsid w:val="005E4DDB"/>
    <w:rsid w:val="005E5D8F"/>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1C5"/>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1AF"/>
    <w:rsid w:val="006238C9"/>
    <w:rsid w:val="00623C2A"/>
    <w:rsid w:val="00623E0D"/>
    <w:rsid w:val="0062454D"/>
    <w:rsid w:val="00624FE2"/>
    <w:rsid w:val="00625D6F"/>
    <w:rsid w:val="0062608C"/>
    <w:rsid w:val="006269D2"/>
    <w:rsid w:val="00626CAC"/>
    <w:rsid w:val="00626D7E"/>
    <w:rsid w:val="006271B3"/>
    <w:rsid w:val="0063015E"/>
    <w:rsid w:val="00630876"/>
    <w:rsid w:val="00631622"/>
    <w:rsid w:val="00631B28"/>
    <w:rsid w:val="00631DBB"/>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9D2"/>
    <w:rsid w:val="00641BB8"/>
    <w:rsid w:val="006433AB"/>
    <w:rsid w:val="00643765"/>
    <w:rsid w:val="00644027"/>
    <w:rsid w:val="00644195"/>
    <w:rsid w:val="006457A5"/>
    <w:rsid w:val="00646DD0"/>
    <w:rsid w:val="0064794B"/>
    <w:rsid w:val="00650174"/>
    <w:rsid w:val="006505CC"/>
    <w:rsid w:val="006509D6"/>
    <w:rsid w:val="00651AEC"/>
    <w:rsid w:val="00651C46"/>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14E3"/>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99C"/>
    <w:rsid w:val="00684A1C"/>
    <w:rsid w:val="00686102"/>
    <w:rsid w:val="0068633E"/>
    <w:rsid w:val="00686869"/>
    <w:rsid w:val="006868B0"/>
    <w:rsid w:val="00690AA0"/>
    <w:rsid w:val="00691426"/>
    <w:rsid w:val="00691932"/>
    <w:rsid w:val="00692F64"/>
    <w:rsid w:val="0069331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656"/>
    <w:rsid w:val="006A3CFB"/>
    <w:rsid w:val="006A497F"/>
    <w:rsid w:val="006A5B63"/>
    <w:rsid w:val="006A5E92"/>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8B7"/>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5BF"/>
    <w:rsid w:val="006D071E"/>
    <w:rsid w:val="006D0C2A"/>
    <w:rsid w:val="006D0E52"/>
    <w:rsid w:val="006D1B0A"/>
    <w:rsid w:val="006D2023"/>
    <w:rsid w:val="006D2625"/>
    <w:rsid w:val="006D2CA2"/>
    <w:rsid w:val="006D2D7F"/>
    <w:rsid w:val="006D2F63"/>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33E"/>
    <w:rsid w:val="006F25D5"/>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2D"/>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31"/>
    <w:rsid w:val="007431A4"/>
    <w:rsid w:val="00743F63"/>
    <w:rsid w:val="00744BA4"/>
    <w:rsid w:val="00745354"/>
    <w:rsid w:val="007465F0"/>
    <w:rsid w:val="00746708"/>
    <w:rsid w:val="00747099"/>
    <w:rsid w:val="00747261"/>
    <w:rsid w:val="00747331"/>
    <w:rsid w:val="00747F64"/>
    <w:rsid w:val="00750D6F"/>
    <w:rsid w:val="00750E18"/>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419"/>
    <w:rsid w:val="007626AB"/>
    <w:rsid w:val="00762EBE"/>
    <w:rsid w:val="007631BF"/>
    <w:rsid w:val="007631D9"/>
    <w:rsid w:val="007636B4"/>
    <w:rsid w:val="007637A7"/>
    <w:rsid w:val="00763C13"/>
    <w:rsid w:val="0076517B"/>
    <w:rsid w:val="00766985"/>
    <w:rsid w:val="00766C69"/>
    <w:rsid w:val="00766F36"/>
    <w:rsid w:val="00767A22"/>
    <w:rsid w:val="00767AFA"/>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9008C"/>
    <w:rsid w:val="00790A00"/>
    <w:rsid w:val="00790CA5"/>
    <w:rsid w:val="00790CE5"/>
    <w:rsid w:val="00790E71"/>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6E8"/>
    <w:rsid w:val="007A09B0"/>
    <w:rsid w:val="007A15A9"/>
    <w:rsid w:val="007A2245"/>
    <w:rsid w:val="007A227B"/>
    <w:rsid w:val="007A2AB1"/>
    <w:rsid w:val="007A2F02"/>
    <w:rsid w:val="007A30B1"/>
    <w:rsid w:val="007A356D"/>
    <w:rsid w:val="007A3822"/>
    <w:rsid w:val="007A39BA"/>
    <w:rsid w:val="007A4A82"/>
    <w:rsid w:val="007A537D"/>
    <w:rsid w:val="007A5E71"/>
    <w:rsid w:val="007A7217"/>
    <w:rsid w:val="007A7982"/>
    <w:rsid w:val="007A79DA"/>
    <w:rsid w:val="007A7C89"/>
    <w:rsid w:val="007A7FA6"/>
    <w:rsid w:val="007B01E2"/>
    <w:rsid w:val="007B0311"/>
    <w:rsid w:val="007B0B8B"/>
    <w:rsid w:val="007B141A"/>
    <w:rsid w:val="007B1495"/>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3AC"/>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AF1"/>
    <w:rsid w:val="007F414D"/>
    <w:rsid w:val="007F4D6F"/>
    <w:rsid w:val="007F4DA5"/>
    <w:rsid w:val="007F502F"/>
    <w:rsid w:val="007F75A8"/>
    <w:rsid w:val="0080081B"/>
    <w:rsid w:val="008011A7"/>
    <w:rsid w:val="008014D3"/>
    <w:rsid w:val="00801A6C"/>
    <w:rsid w:val="00802451"/>
    <w:rsid w:val="0080273A"/>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529"/>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EF0"/>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6D1"/>
    <w:rsid w:val="008648F0"/>
    <w:rsid w:val="00864A03"/>
    <w:rsid w:val="00864BAF"/>
    <w:rsid w:val="008652F0"/>
    <w:rsid w:val="00865318"/>
    <w:rsid w:val="00865519"/>
    <w:rsid w:val="00865C3C"/>
    <w:rsid w:val="008661A4"/>
    <w:rsid w:val="00867401"/>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48BF"/>
    <w:rsid w:val="008851BF"/>
    <w:rsid w:val="00885380"/>
    <w:rsid w:val="0088574B"/>
    <w:rsid w:val="0088594E"/>
    <w:rsid w:val="0088649D"/>
    <w:rsid w:val="00886768"/>
    <w:rsid w:val="008876FD"/>
    <w:rsid w:val="00887A19"/>
    <w:rsid w:val="00890136"/>
    <w:rsid w:val="00890917"/>
    <w:rsid w:val="00891802"/>
    <w:rsid w:val="0089181D"/>
    <w:rsid w:val="008918DE"/>
    <w:rsid w:val="0089193E"/>
    <w:rsid w:val="00892291"/>
    <w:rsid w:val="0089272F"/>
    <w:rsid w:val="00892774"/>
    <w:rsid w:val="008929EC"/>
    <w:rsid w:val="00892AFC"/>
    <w:rsid w:val="0089336B"/>
    <w:rsid w:val="00893451"/>
    <w:rsid w:val="008946BB"/>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5F20"/>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5A7"/>
    <w:rsid w:val="00921DF6"/>
    <w:rsid w:val="00922191"/>
    <w:rsid w:val="0092226E"/>
    <w:rsid w:val="009223AC"/>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0F91"/>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697"/>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389A"/>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3F7"/>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0A0"/>
    <w:rsid w:val="009E0232"/>
    <w:rsid w:val="009E0403"/>
    <w:rsid w:val="009E19EA"/>
    <w:rsid w:val="009E2D79"/>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265"/>
    <w:rsid w:val="00A01E11"/>
    <w:rsid w:val="00A0253F"/>
    <w:rsid w:val="00A02787"/>
    <w:rsid w:val="00A033DA"/>
    <w:rsid w:val="00A04476"/>
    <w:rsid w:val="00A048CD"/>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0EBD"/>
    <w:rsid w:val="00A3120A"/>
    <w:rsid w:val="00A315E3"/>
    <w:rsid w:val="00A317FC"/>
    <w:rsid w:val="00A3183F"/>
    <w:rsid w:val="00A318F1"/>
    <w:rsid w:val="00A31908"/>
    <w:rsid w:val="00A32037"/>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506A9"/>
    <w:rsid w:val="00A50948"/>
    <w:rsid w:val="00A51621"/>
    <w:rsid w:val="00A51681"/>
    <w:rsid w:val="00A525E0"/>
    <w:rsid w:val="00A52823"/>
    <w:rsid w:val="00A52DF0"/>
    <w:rsid w:val="00A535FE"/>
    <w:rsid w:val="00A53691"/>
    <w:rsid w:val="00A550CD"/>
    <w:rsid w:val="00A55945"/>
    <w:rsid w:val="00A55DB4"/>
    <w:rsid w:val="00A56129"/>
    <w:rsid w:val="00A56AE1"/>
    <w:rsid w:val="00A57335"/>
    <w:rsid w:val="00A57C21"/>
    <w:rsid w:val="00A57CBA"/>
    <w:rsid w:val="00A57EAE"/>
    <w:rsid w:val="00A60552"/>
    <w:rsid w:val="00A60AC3"/>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13F"/>
    <w:rsid w:val="00A67228"/>
    <w:rsid w:val="00A67612"/>
    <w:rsid w:val="00A71567"/>
    <w:rsid w:val="00A71A19"/>
    <w:rsid w:val="00A71CD7"/>
    <w:rsid w:val="00A72439"/>
    <w:rsid w:val="00A72DEC"/>
    <w:rsid w:val="00A72FE9"/>
    <w:rsid w:val="00A7350D"/>
    <w:rsid w:val="00A75489"/>
    <w:rsid w:val="00A75EE0"/>
    <w:rsid w:val="00A76DA1"/>
    <w:rsid w:val="00A770A2"/>
    <w:rsid w:val="00A7757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0FC5"/>
    <w:rsid w:val="00AA1022"/>
    <w:rsid w:val="00AA140F"/>
    <w:rsid w:val="00AA1ED9"/>
    <w:rsid w:val="00AA1F9E"/>
    <w:rsid w:val="00AA2E0D"/>
    <w:rsid w:val="00AA321D"/>
    <w:rsid w:val="00AA339E"/>
    <w:rsid w:val="00AA390E"/>
    <w:rsid w:val="00AA3C87"/>
    <w:rsid w:val="00AA44D3"/>
    <w:rsid w:val="00AA48A5"/>
    <w:rsid w:val="00AA4926"/>
    <w:rsid w:val="00AA4D94"/>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5EE7"/>
    <w:rsid w:val="00AB64B8"/>
    <w:rsid w:val="00AB6C34"/>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92F"/>
    <w:rsid w:val="00AD4B15"/>
    <w:rsid w:val="00AD5AF1"/>
    <w:rsid w:val="00AD5D99"/>
    <w:rsid w:val="00AD6316"/>
    <w:rsid w:val="00AD65CD"/>
    <w:rsid w:val="00AD66B5"/>
    <w:rsid w:val="00AD743B"/>
    <w:rsid w:val="00AE0492"/>
    <w:rsid w:val="00AE07B5"/>
    <w:rsid w:val="00AE0E25"/>
    <w:rsid w:val="00AE0FC0"/>
    <w:rsid w:val="00AE18D5"/>
    <w:rsid w:val="00AE26E7"/>
    <w:rsid w:val="00AE27B1"/>
    <w:rsid w:val="00AE281B"/>
    <w:rsid w:val="00AE2FE6"/>
    <w:rsid w:val="00AE3DC4"/>
    <w:rsid w:val="00AE4585"/>
    <w:rsid w:val="00AE45DB"/>
    <w:rsid w:val="00AE4B07"/>
    <w:rsid w:val="00AE66F2"/>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29E6"/>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C77"/>
    <w:rsid w:val="00B33EC7"/>
    <w:rsid w:val="00B34C7B"/>
    <w:rsid w:val="00B35AE6"/>
    <w:rsid w:val="00B36189"/>
    <w:rsid w:val="00B363E4"/>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4B"/>
    <w:rsid w:val="00B57FE5"/>
    <w:rsid w:val="00B600B2"/>
    <w:rsid w:val="00B61C6C"/>
    <w:rsid w:val="00B61F28"/>
    <w:rsid w:val="00B626DA"/>
    <w:rsid w:val="00B62A7E"/>
    <w:rsid w:val="00B63402"/>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58D"/>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2F0C"/>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3E8"/>
    <w:rsid w:val="00BC3A8A"/>
    <w:rsid w:val="00BC3F7E"/>
    <w:rsid w:val="00BC45B2"/>
    <w:rsid w:val="00BC4729"/>
    <w:rsid w:val="00BC5979"/>
    <w:rsid w:val="00BC6735"/>
    <w:rsid w:val="00BC6D28"/>
    <w:rsid w:val="00BC7B67"/>
    <w:rsid w:val="00BD0542"/>
    <w:rsid w:val="00BD05CA"/>
    <w:rsid w:val="00BD0F19"/>
    <w:rsid w:val="00BD1E82"/>
    <w:rsid w:val="00BD23F8"/>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2C1"/>
    <w:rsid w:val="00BF6B76"/>
    <w:rsid w:val="00BF6E95"/>
    <w:rsid w:val="00BF77F3"/>
    <w:rsid w:val="00BF780D"/>
    <w:rsid w:val="00BF7837"/>
    <w:rsid w:val="00BF7944"/>
    <w:rsid w:val="00BF7B83"/>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36C"/>
    <w:rsid w:val="00C10812"/>
    <w:rsid w:val="00C108DF"/>
    <w:rsid w:val="00C10B96"/>
    <w:rsid w:val="00C11597"/>
    <w:rsid w:val="00C125A7"/>
    <w:rsid w:val="00C12D95"/>
    <w:rsid w:val="00C13E34"/>
    <w:rsid w:val="00C1421C"/>
    <w:rsid w:val="00C14A98"/>
    <w:rsid w:val="00C14B05"/>
    <w:rsid w:val="00C152A8"/>
    <w:rsid w:val="00C15C58"/>
    <w:rsid w:val="00C162C5"/>
    <w:rsid w:val="00C1663C"/>
    <w:rsid w:val="00C16DE2"/>
    <w:rsid w:val="00C171C5"/>
    <w:rsid w:val="00C17639"/>
    <w:rsid w:val="00C20432"/>
    <w:rsid w:val="00C2054E"/>
    <w:rsid w:val="00C2059F"/>
    <w:rsid w:val="00C20FE9"/>
    <w:rsid w:val="00C22D67"/>
    <w:rsid w:val="00C2339E"/>
    <w:rsid w:val="00C23560"/>
    <w:rsid w:val="00C236F0"/>
    <w:rsid w:val="00C2425B"/>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27E5"/>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67518"/>
    <w:rsid w:val="00C70810"/>
    <w:rsid w:val="00C71401"/>
    <w:rsid w:val="00C71888"/>
    <w:rsid w:val="00C724A7"/>
    <w:rsid w:val="00C726B8"/>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743"/>
    <w:rsid w:val="00CA1AF4"/>
    <w:rsid w:val="00CA217B"/>
    <w:rsid w:val="00CA2D20"/>
    <w:rsid w:val="00CA2D89"/>
    <w:rsid w:val="00CA40D9"/>
    <w:rsid w:val="00CA4FDE"/>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5F72"/>
    <w:rsid w:val="00CC608A"/>
    <w:rsid w:val="00CC76F2"/>
    <w:rsid w:val="00CC7872"/>
    <w:rsid w:val="00CC7BDB"/>
    <w:rsid w:val="00CD0754"/>
    <w:rsid w:val="00CD22CF"/>
    <w:rsid w:val="00CD2DE8"/>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7A"/>
    <w:rsid w:val="00CE5CFC"/>
    <w:rsid w:val="00CE7163"/>
    <w:rsid w:val="00CE720B"/>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227"/>
    <w:rsid w:val="00D84ABB"/>
    <w:rsid w:val="00D84F12"/>
    <w:rsid w:val="00D8682D"/>
    <w:rsid w:val="00D86C40"/>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A7F44"/>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8EA"/>
    <w:rsid w:val="00DC1A69"/>
    <w:rsid w:val="00DC1D35"/>
    <w:rsid w:val="00DC27BD"/>
    <w:rsid w:val="00DC2F57"/>
    <w:rsid w:val="00DC32D0"/>
    <w:rsid w:val="00DC373B"/>
    <w:rsid w:val="00DC3B5E"/>
    <w:rsid w:val="00DC40D8"/>
    <w:rsid w:val="00DC41C8"/>
    <w:rsid w:val="00DC485E"/>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7AD"/>
    <w:rsid w:val="00E20CC6"/>
    <w:rsid w:val="00E20CF0"/>
    <w:rsid w:val="00E210D1"/>
    <w:rsid w:val="00E22056"/>
    <w:rsid w:val="00E2267E"/>
    <w:rsid w:val="00E22E3B"/>
    <w:rsid w:val="00E22FEE"/>
    <w:rsid w:val="00E23838"/>
    <w:rsid w:val="00E23CBD"/>
    <w:rsid w:val="00E23D31"/>
    <w:rsid w:val="00E242F2"/>
    <w:rsid w:val="00E2473D"/>
    <w:rsid w:val="00E24E20"/>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15D"/>
    <w:rsid w:val="00E36260"/>
    <w:rsid w:val="00E37269"/>
    <w:rsid w:val="00E3749A"/>
    <w:rsid w:val="00E37C88"/>
    <w:rsid w:val="00E37D1E"/>
    <w:rsid w:val="00E4075E"/>
    <w:rsid w:val="00E4127D"/>
    <w:rsid w:val="00E4192D"/>
    <w:rsid w:val="00E41A1C"/>
    <w:rsid w:val="00E41FCF"/>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B1C"/>
    <w:rsid w:val="00E72C63"/>
    <w:rsid w:val="00E73552"/>
    <w:rsid w:val="00E736AA"/>
    <w:rsid w:val="00E73A3B"/>
    <w:rsid w:val="00E7586C"/>
    <w:rsid w:val="00E76891"/>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1A82"/>
    <w:rsid w:val="00E9246E"/>
    <w:rsid w:val="00E92585"/>
    <w:rsid w:val="00E925FB"/>
    <w:rsid w:val="00E93626"/>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20B"/>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606"/>
    <w:rsid w:val="00EC761D"/>
    <w:rsid w:val="00ED2644"/>
    <w:rsid w:val="00ED2D9C"/>
    <w:rsid w:val="00ED360F"/>
    <w:rsid w:val="00ED3EC5"/>
    <w:rsid w:val="00ED4566"/>
    <w:rsid w:val="00ED4685"/>
    <w:rsid w:val="00ED4E8E"/>
    <w:rsid w:val="00ED4F9F"/>
    <w:rsid w:val="00ED5486"/>
    <w:rsid w:val="00ED6990"/>
    <w:rsid w:val="00ED6B01"/>
    <w:rsid w:val="00ED72CB"/>
    <w:rsid w:val="00ED73CC"/>
    <w:rsid w:val="00ED7A08"/>
    <w:rsid w:val="00EE0888"/>
    <w:rsid w:val="00EE0CD9"/>
    <w:rsid w:val="00EE0FBD"/>
    <w:rsid w:val="00EE1134"/>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AC1"/>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9F8"/>
    <w:rsid w:val="00F3712D"/>
    <w:rsid w:val="00F40678"/>
    <w:rsid w:val="00F40701"/>
    <w:rsid w:val="00F407CB"/>
    <w:rsid w:val="00F408A1"/>
    <w:rsid w:val="00F408E3"/>
    <w:rsid w:val="00F40912"/>
    <w:rsid w:val="00F413DE"/>
    <w:rsid w:val="00F41917"/>
    <w:rsid w:val="00F4485A"/>
    <w:rsid w:val="00F44AF6"/>
    <w:rsid w:val="00F452B7"/>
    <w:rsid w:val="00F45369"/>
    <w:rsid w:val="00F45528"/>
    <w:rsid w:val="00F456AB"/>
    <w:rsid w:val="00F45780"/>
    <w:rsid w:val="00F478CD"/>
    <w:rsid w:val="00F47F19"/>
    <w:rsid w:val="00F50049"/>
    <w:rsid w:val="00F50057"/>
    <w:rsid w:val="00F504D2"/>
    <w:rsid w:val="00F507CD"/>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C00"/>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EEF"/>
    <w:rsid w:val="00F745D1"/>
    <w:rsid w:val="00F74D92"/>
    <w:rsid w:val="00F74E4E"/>
    <w:rsid w:val="00F7556D"/>
    <w:rsid w:val="00F75600"/>
    <w:rsid w:val="00F75C16"/>
    <w:rsid w:val="00F75F32"/>
    <w:rsid w:val="00F75FCD"/>
    <w:rsid w:val="00F76C94"/>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47FA"/>
    <w:rsid w:val="00FA532C"/>
    <w:rsid w:val="00FA55CB"/>
    <w:rsid w:val="00FA6EF0"/>
    <w:rsid w:val="00FB0345"/>
    <w:rsid w:val="00FB080F"/>
    <w:rsid w:val="00FB0FB2"/>
    <w:rsid w:val="00FB10E1"/>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4C85"/>
    <w:rsid w:val="00FD50ED"/>
    <w:rsid w:val="00FD5206"/>
    <w:rsid w:val="00FD53F9"/>
    <w:rsid w:val="00FD5889"/>
    <w:rsid w:val="00FD5A53"/>
    <w:rsid w:val="00FD5AB2"/>
    <w:rsid w:val="00FD645D"/>
    <w:rsid w:val="00FD6506"/>
    <w:rsid w:val="00FD6D3C"/>
    <w:rsid w:val="00FD6F87"/>
    <w:rsid w:val="00FD736A"/>
    <w:rsid w:val="00FD7C9C"/>
    <w:rsid w:val="00FE021D"/>
    <w:rsid w:val="00FE0D14"/>
    <w:rsid w:val="00FE135A"/>
    <w:rsid w:val="00FE15E1"/>
    <w:rsid w:val="00FE1809"/>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1E07"/>
    <w:rsid w:val="00FF2316"/>
    <w:rsid w:val="00FF3111"/>
    <w:rsid w:val="00FF40E7"/>
    <w:rsid w:val="00FF44FE"/>
    <w:rsid w:val="00FF4D2F"/>
    <w:rsid w:val="00FF5232"/>
    <w:rsid w:val="00FF5D54"/>
    <w:rsid w:val="00FF61F3"/>
    <w:rsid w:val="00FF62F6"/>
    <w:rsid w:val="00FF7502"/>
    <w:rsid w:val="00FF77E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paragraph">
    <w:name w:val="paragraph"/>
    <w:basedOn w:val="Normal"/>
    <w:rsid w:val="0036224F"/>
    <w:pPr>
      <w:spacing w:before="100" w:beforeAutospacing="1" w:after="100" w:afterAutospacing="1"/>
    </w:pPr>
    <w:rPr>
      <w:lang w:eastAsia="es-MX"/>
    </w:rPr>
  </w:style>
  <w:style w:type="table" w:styleId="Tabladecuadrcula6concolores">
    <w:name w:val="Grid Table 6 Colorful"/>
    <w:basedOn w:val="Tablanormal"/>
    <w:uiPriority w:val="51"/>
    <w:rsid w:val="0036224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1274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sfem.gob.mx/04_Normatividad/Normatividad.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88A93-C29A-4453-8991-5822A5CA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89</Pages>
  <Words>22829</Words>
  <Characters>125562</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2019-03-25T20:15:00Z</cp:lastPrinted>
  <dcterms:created xsi:type="dcterms:W3CDTF">2019-02-28T21:40:00Z</dcterms:created>
  <dcterms:modified xsi:type="dcterms:W3CDTF">2019-04-09T23:51:00Z</dcterms:modified>
</cp:coreProperties>
</file>